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Mutual NDA — HISN</w:t>
      </w:r>
    </w:p>
    <w:p>
      <w:pPr>
        <w:pStyle w:val="Subtitle"/>
      </w:pPr>
      <w:r>
        <w:rPr>
          <w:lang w:val="en"/>
        </w:rPr>
        <w:t xml:space="preserve">Mutual Non-Disclosure Agreement</w:t>
      </w:r>
    </w:p>
    <w:p>
      <w:pPr>
        <w:pStyle w:val="Author"/>
      </w:pPr>
      <w:r>
        <w:rPr>
          <w:lang w:val="en"/>
        </w:rPr>
        <w:t xml:space="preserve">HISN Platform</w:t>
      </w:r>
    </w:p>
    <w:p>
      <w:pPr>
        <w:pStyle w:val="Heading1"/>
      </w:pPr>
      <w:bookmarkStart w:id="19" w:name="_7b6cfebb4cb76a77449c6be7e4e54275f164e1e"/>
      <w:r>
        <w:rPr>
          <w:lang w:val="en"/>
        </w:rPr>
        <w:t xml:space="preserve">اتفاقية عدم الإفصاح والسرية المتبادلة</w:t>
      </w:r>
      <w:bookmarkEnd w:id="19"/>
    </w:p>
    <w:p>
      <w:pPr>
        <w:pStyle w:val="Heading1"/>
      </w:pPr>
      <w:bookmarkStart w:id="20" w:name="_2502d618927e134638e6bad12fa44bdff22db4b"/>
      <w:r>
        <w:rPr>
          <w:lang w:val="en"/>
        </w:rPr>
        <w:t xml:space="preserve">MUTUAL NON-DISCLOSURE AGREEMENT</w:t>
      </w:r>
      <w:bookmarkEnd w:id="20"/>
    </w:p>
    <w:p>
      <w:r>
        <w:pict>
          <v:rect style="width:0;height:1.5pt" o:hralign="center" o:hrstd="t" o:hr="t"/>
        </w:pict>
      </w:r>
    </w:p>
    <w:p>
      <w:pPr>
        <w:pStyle w:val="FirstParagraph"/>
      </w:pPr>
      <w:r>
        <w:rPr>
          <w:b/>
          <w:bCs/>
          <w:lang w:val="en"/>
        </w:rPr>
        <w:t xml:space="preserve">HISN — حِصْن</w:t>
      </w:r>
    </w:p>
    <w:p>
      <w:pPr>
        <w:pStyle w:val="BodyText"/>
      </w:pPr>
      <w:r>
        <w:rPr>
          <w:b/>
          <w:bCs/>
          <w:lang w:val="en"/>
        </w:rPr>
        <w:t xml:space="preserve">Financial Crime Decision Operating System</w:t>
      </w:r>
    </w:p>
    <w:p>
      <w:r>
        <w:pict>
          <v:rect style="width:0;height:1.5pt" o:hralign="center" o:hrstd="t" o:hr="t"/>
        </w:pict>
      </w:r>
    </w:p>
    <w:p>
      <w:pPr>
        <w:pStyle w:val="Heading2"/>
      </w:pPr>
      <w:bookmarkStart w:id="21" w:name="_9920e53507ef1abfebcc4e68cb199b312930085"/>
      <w:r>
        <w:rPr>
          <w:lang w:val="en"/>
        </w:rPr>
        <w:t xml:space="preserve">الديباجة | Preamble</w:t>
      </w:r>
      <w:bookmarkEnd w:id="21"/>
    </w:p>
    <w:p>
      <w:pPr>
        <w:pStyle w:val="FirstParagraph"/>
      </w:pPr>
      <w:r>
        <w:rPr>
          <w:b/>
          <w:bCs/>
          <w:lang w:val="en"/>
        </w:rPr>
        <w:t xml:space="preserve">العربية:</w:t>
      </w:r>
    </w:p>
    <w:p>
      <w:pPr>
        <w:pStyle w:val="BodyText"/>
      </w:pPr>
      <w:r>
        <w:rPr>
          <w:lang w:val="en"/>
        </w:rPr>
        <w:t xml:space="preserve">أُبرمت هذه الاتفاقية بتاريخ ____ / ____ / 2026م، بين كل من:</w:t>
      </w:r>
    </w:p>
    <w:p>
      <w:pPr>
        <w:pStyle w:val="BodyText"/>
      </w:pPr>
      <w:r>
        <w:rPr>
          <w:b/>
          <w:bCs/>
          <w:lang w:val="en"/>
        </w:rPr>
        <w:t xml:space="preserve">الطرف الأول (المُفصِح):</w:t>
      </w:r>
      <w:r>
        <w:rPr>
          <w:lang w:val="en"/>
        </w:rPr>
        <w:t xml:space="preserve"> </w:t>
      </w:r>
      <w:r>
        <w:rPr>
          <w:lang w:val="en"/>
        </w:rPr>
        <w:t xml:space="preserve">شركة حِصْن للتقنية المالية، سجل تجاري رقم (____________)، الكائن مقرها في مدينة الرياض، المملكة العربية السعودية. ويمثلها في التوقيع على هذه الاتفاقية السيد/</w:t>
      </w:r>
      <w:r>
        <w:rPr>
          <w:lang w:val="en"/>
        </w:rPr>
        <w:t xml:space="preserve"> </w:t>
      </w:r>
      <w:r>
        <w:rPr>
          <w:b/>
          <w:bCs/>
          <w:lang w:val="en"/>
        </w:rPr>
        <w:t xml:space="preserve">محمد عبده</w:t>
      </w:r>
      <w:r>
        <w:rPr>
          <w:lang w:val="en"/>
        </w:rPr>
        <w:t xml:space="preserve">، بصفته</w:t>
      </w:r>
      <w:r>
        <w:rPr>
          <w:lang w:val="en"/>
        </w:rPr>
        <w:t xml:space="preserve"> </w:t>
      </w:r>
      <w:r>
        <w:rPr>
          <w:b/>
          <w:bCs/>
          <w:lang w:val="en"/>
        </w:rPr>
        <w:t xml:space="preserve">المؤسس والرئيس التنفيذي</w:t>
      </w:r>
      <w:r>
        <w:rPr>
          <w:lang w:val="en"/>
        </w:rPr>
        <w:t xml:space="preserve">.</w:t>
      </w:r>
    </w:p>
    <w:p>
      <w:pPr>
        <w:pStyle w:val="BodyText"/>
      </w:pPr>
      <w:r>
        <w:rPr>
          <w:b/>
          <w:bCs/>
          <w:lang w:val="en"/>
        </w:rPr>
        <w:t xml:space="preserve">الطرف الثاني (المُستلِم):</w:t>
      </w:r>
      <w:r>
        <w:rPr>
          <w:lang w:val="en"/>
        </w:rPr>
        <w:t xml:space="preserve"> </w:t>
      </w:r>
      <w:r>
        <w:rPr>
          <w:lang w:val="en"/>
        </w:rPr>
        <w:t xml:space="preserve">________________________________________ سجل تجاري رقم (____________)، رقم ضريبي (____________). ويمثلها في التوقيع السيد/ ____________، بصفته ____________.</w:t>
      </w:r>
    </w:p>
    <w:p>
      <w:pPr>
        <w:pStyle w:val="BodyText"/>
      </w:pPr>
      <w:r>
        <w:rPr>
          <w:b/>
          <w:bCs/>
          <w:lang w:val="en"/>
        </w:rPr>
        <w:t xml:space="preserve">English:</w:t>
      </w:r>
    </w:p>
    <w:p>
      <w:pPr>
        <w:pStyle w:val="BodyText"/>
      </w:pPr>
      <w:r>
        <w:rPr>
          <w:lang w:val="en"/>
        </w:rPr>
        <w:t xml:space="preserve">This Agreement is made effective as of ____ / ____ / 2026 between:</w:t>
      </w:r>
    </w:p>
    <w:p>
      <w:pPr>
        <w:pStyle w:val="BodyText"/>
      </w:pPr>
      <w:r>
        <w:rPr>
          <w:b/>
          <w:bCs/>
          <w:lang w:val="en"/>
        </w:rPr>
        <w:t xml:space="preserve">First Party (Disclosing Party):</w:t>
      </w:r>
      <w:r>
        <w:rPr>
          <w:lang w:val="en"/>
        </w:rPr>
        <w:t xml:space="preserve"> </w:t>
      </w:r>
      <w:r>
        <w:rPr>
          <w:lang w:val="en"/>
        </w:rPr>
        <w:t xml:space="preserve">HISN Financial Technology Company, Commercial Registration No. (____________), with its principal office located in Riyadh, Kingdom of Saudi Arabia. Represented in signing this Agreement by</w:t>
      </w:r>
      <w:r>
        <w:rPr>
          <w:lang w:val="en"/>
        </w:rPr>
        <w:t xml:space="preserve"> </w:t>
      </w:r>
      <w:r>
        <w:rPr>
          <w:b/>
          <w:bCs/>
          <w:lang w:val="en"/>
        </w:rPr>
        <w:t xml:space="preserve">Mr. Mohamed Abdo</w:t>
      </w:r>
      <w:r>
        <w:rPr>
          <w:lang w:val="en"/>
        </w:rPr>
        <w:t xml:space="preserve">, in his capacity as</w:t>
      </w:r>
      <w:r>
        <w:rPr>
          <w:lang w:val="en"/>
        </w:rPr>
        <w:t xml:space="preserve"> </w:t>
      </w:r>
      <w:r>
        <w:rPr>
          <w:b/>
          <w:bCs/>
          <w:lang w:val="en"/>
        </w:rPr>
        <w:t xml:space="preserve">Founder &amp; Chief Executive Officer</w:t>
      </w:r>
      <w:r>
        <w:rPr>
          <w:lang w:val="en"/>
        </w:rPr>
        <w:t xml:space="preserve">.</w:t>
      </w:r>
    </w:p>
    <w:p>
      <w:pPr>
        <w:pStyle w:val="BodyText"/>
      </w:pPr>
      <w:r>
        <w:rPr>
          <w:b/>
          <w:bCs/>
          <w:lang w:val="en"/>
        </w:rPr>
        <w:t xml:space="preserve">Second Party (Receiving Party):</w:t>
      </w:r>
      <w:r>
        <w:rPr>
          <w:lang w:val="en"/>
        </w:rPr>
        <w:t xml:space="preserve"> </w:t>
      </w:r>
      <w:r>
        <w:rPr>
          <w:lang w:val="en"/>
        </w:rPr>
        <w:t xml:space="preserve">________________________________________ CR No. (____________), VAT No. (____________). Represented in signing by Mr. ____________, in his capacity as ____________.</w:t>
      </w:r>
    </w:p>
    <w:p>
      <w:r>
        <w:pict>
          <v:rect style="width:0;height:1.5pt" o:hralign="center" o:hrstd="t" o:hr="t"/>
        </w:pict>
      </w:r>
    </w:p>
    <w:p>
      <w:pPr>
        <w:pStyle w:val="Heading2"/>
      </w:pPr>
      <w:bookmarkStart w:id="22" w:name="_eac369b5136783287bb6f0179194df949440f6f"/>
      <w:r>
        <w:rPr>
          <w:lang w:val="en"/>
        </w:rPr>
        <w:t xml:space="preserve">المادة (1): الغرض | Article 1: Purpose</w:t>
      </w:r>
      <w:bookmarkEnd w:id="22"/>
    </w:p>
    <w:p>
      <w:pPr>
        <w:pStyle w:val="FirstParagraph"/>
      </w:pPr>
      <w:r>
        <w:rPr>
          <w:b/>
          <w:bCs/>
          <w:lang w:val="en"/>
        </w:rPr>
        <w:t xml:space="preserve">العربية:</w:t>
      </w:r>
    </w:p>
    <w:p>
      <w:pPr>
        <w:pStyle w:val="BodyText"/>
      </w:pPr>
      <w:r>
        <w:rPr>
          <w:lang w:val="en"/>
        </w:rPr>
        <w:t xml:space="preserve">تهدف هذه الاتفاقية إلى حماية المعلومات السرية التي قد يُفصح عنها الطرف الأول للطرف الثاني بغرض دراسة فرصة استثمارية في جولة التمويل الأولى (Seed Round) لمنصة حِصْن، بقيمة استثمار مستهدفة 7,500,000 ريال سعودي، وبما يعادل حصة 20% من رأس المال بعد الإصدار، على أساس تقييم ما قبل الاستثمار 30,000,000 ريال سعودي، أو أي غرض تجاري آخر يتفق عليه الطرفان كتابةً.</w:t>
      </w:r>
    </w:p>
    <w:p>
      <w:pPr>
        <w:pStyle w:val="BodyText"/>
      </w:pPr>
      <w:r>
        <w:rPr>
          <w:b/>
          <w:bCs/>
          <w:lang w:val="en"/>
        </w:rPr>
        <w:t xml:space="preserve">English:</w:t>
      </w:r>
    </w:p>
    <w:p>
      <w:pPr>
        <w:pStyle w:val="BodyText"/>
      </w:pPr>
      <w:r>
        <w:rPr>
          <w:lang w:val="en"/>
        </w:rPr>
        <w:t xml:space="preserve">This Agreement governs the protection of Confidential Information disclosed by the First Party to the Second Party for the purpose of evaluating a potential investment opportunity in HISN’s Seed Round, targeting SAR 7,500,000 for 20% post-money ownership at a pre-money valuation of SAR 30,000,000, or for any other commercial purpose mutually agreed in writing between the Parties.</w:t>
      </w:r>
    </w:p>
    <w:p>
      <w:r>
        <w:pict>
          <v:rect style="width:0;height:1.5pt" o:hralign="center" o:hrstd="t" o:hr="t"/>
        </w:pict>
      </w:r>
    </w:p>
    <w:p>
      <w:pPr>
        <w:pStyle w:val="Heading2"/>
      </w:pPr>
      <w:bookmarkStart w:id="23" w:name="_baa283e41a64f0110850a03f99a015dd827c1af"/>
      <w:r>
        <w:rPr>
          <w:lang w:val="en"/>
        </w:rPr>
        <w:t xml:space="preserve">المادة (2): التعريفات | Article 2: Definitions</w:t>
      </w:r>
      <w:bookmarkEnd w:id="23"/>
    </w:p>
    <w:p>
      <w:pPr>
        <w:pStyle w:val="Heading3"/>
      </w:pPr>
      <w:bookmarkStart w:id="24" w:name="_2cdb468d57cc6096620952eaf29449391056e69"/>
      <w:r>
        <w:rPr>
          <w:lang w:val="en"/>
        </w:rPr>
        <w:t xml:space="preserve">2.1 المعلومات السرية | Confidential Information</w:t>
      </w:r>
      <w:bookmarkEnd w:id="24"/>
    </w:p>
    <w:p>
      <w:pPr>
        <w:pStyle w:val="FirstParagraph"/>
      </w:pPr>
      <w:r>
        <w:rPr>
          <w:b/>
          <w:bCs/>
          <w:lang w:val="en"/>
        </w:rPr>
        <w:t xml:space="preserve">العربية:</w:t>
      </w:r>
      <w:r>
        <w:rPr>
          <w:lang w:val="en"/>
        </w:rPr>
        <w:t xml:space="preserve"> </w:t>
      </w:r>
      <w:r>
        <w:rPr>
          <w:lang w:val="en"/>
        </w:rPr>
        <w:t xml:space="preserve">تشمل المعلومات السرية جميع البيانات الفنية وغير الفنية التي يفصح عنها الطرف الأول، سواء شفهيًا أو كتابيًا أو بأي وسيلة أخرى، بما في ذلك على سبيل المثال لا الحصر:</w:t>
      </w:r>
    </w:p>
    <w:p>
      <w:pPr>
        <w:pStyle w:val="Compact"/>
        <w:numPr>
          <w:ilvl w:val="0"/>
          <w:numId w:val="1001"/>
        </w:numPr>
      </w:pPr>
      <w:r>
        <w:rPr>
          <w:lang w:val="en"/>
        </w:rPr>
        <w:t xml:space="preserve">الشيفرة المصدرية والمعمارية التقنية للمنصة</w:t>
      </w:r>
    </w:p>
    <w:p>
      <w:pPr>
        <w:pStyle w:val="Compact"/>
        <w:numPr>
          <w:ilvl w:val="0"/>
          <w:numId w:val="1001"/>
        </w:numPr>
      </w:pPr>
      <w:r>
        <w:rPr>
          <w:lang w:val="en"/>
        </w:rPr>
        <w:t xml:space="preserve">نموذج القرار (Decision DNA) ومحركات الكشف والتصنيف</w:t>
      </w:r>
    </w:p>
    <w:p>
      <w:pPr>
        <w:pStyle w:val="Compact"/>
        <w:numPr>
          <w:ilvl w:val="0"/>
          <w:numId w:val="1001"/>
        </w:numPr>
      </w:pPr>
      <w:r>
        <w:rPr>
          <w:lang w:val="en"/>
        </w:rPr>
        <w:t xml:space="preserve">الأسرار التجارية والتصاميم والبرمجيات</w:t>
      </w:r>
    </w:p>
    <w:p>
      <w:pPr>
        <w:pStyle w:val="Compact"/>
        <w:numPr>
          <w:ilvl w:val="0"/>
          <w:numId w:val="1001"/>
        </w:numPr>
      </w:pPr>
      <w:r>
        <w:rPr>
          <w:lang w:val="en"/>
        </w:rPr>
        <w:t xml:space="preserve">السجلات المالية والنماذج التقييمية والافتراضات التشغيلية</w:t>
      </w:r>
    </w:p>
    <w:p>
      <w:pPr>
        <w:pStyle w:val="Compact"/>
        <w:numPr>
          <w:ilvl w:val="0"/>
          <w:numId w:val="1001"/>
        </w:numPr>
      </w:pPr>
      <w:r>
        <w:rPr>
          <w:lang w:val="en"/>
        </w:rPr>
        <w:t xml:space="preserve">الخطط الاستراتيجية والتشغيلية والتسويقية</w:t>
      </w:r>
    </w:p>
    <w:p>
      <w:pPr>
        <w:pStyle w:val="Compact"/>
        <w:numPr>
          <w:ilvl w:val="0"/>
          <w:numId w:val="1001"/>
        </w:numPr>
      </w:pPr>
      <w:r>
        <w:rPr>
          <w:lang w:val="en"/>
        </w:rPr>
        <w:t xml:space="preserve">قوائم العملاء والشركاء والموردين</w:t>
      </w:r>
    </w:p>
    <w:p>
      <w:pPr>
        <w:pStyle w:val="Compact"/>
        <w:numPr>
          <w:ilvl w:val="0"/>
          <w:numId w:val="1001"/>
        </w:numPr>
      </w:pPr>
      <w:r>
        <w:rPr>
          <w:lang w:val="en"/>
        </w:rPr>
        <w:t xml:space="preserve">بيانات الموظفين والمؤسسين والمساهمين</w:t>
      </w:r>
    </w:p>
    <w:p>
      <w:pPr>
        <w:pStyle w:val="Compact"/>
        <w:numPr>
          <w:ilvl w:val="0"/>
          <w:numId w:val="1001"/>
        </w:numPr>
      </w:pPr>
      <w:r>
        <w:rPr>
          <w:lang w:val="en"/>
        </w:rPr>
        <w:t xml:space="preserve">أي معلومات متعلقة بالامتثال التنظيمي أو الملكية الفكرية</w:t>
      </w:r>
    </w:p>
    <w:p>
      <w:pPr>
        <w:pStyle w:val="Compact"/>
        <w:numPr>
          <w:ilvl w:val="0"/>
          <w:numId w:val="1001"/>
        </w:numPr>
      </w:pPr>
      <w:r>
        <w:rPr>
          <w:lang w:val="en"/>
        </w:rPr>
        <w:t xml:space="preserve">أي بيانات مشتقة من المعلومات أعلاه أو مرتبطة بها</w:t>
      </w:r>
    </w:p>
    <w:p>
      <w:pPr>
        <w:pStyle w:val="FirstParagraph"/>
      </w:pPr>
      <w:r>
        <w:rPr>
          <w:b/>
          <w:bCs/>
          <w:lang w:val="en"/>
        </w:rPr>
        <w:t xml:space="preserve">English:</w:t>
      </w:r>
      <w:r>
        <w:rPr>
          <w:lang w:val="en"/>
        </w:rPr>
        <w:t xml:space="preserve"> </w:t>
      </w:r>
      <w:r>
        <w:rPr>
          <w:lang w:val="en"/>
        </w:rPr>
        <w:t xml:space="preserve">Confidential Information includes all technical and non-technical data disclosed by the First Party, whether orally, in writing, or by any other means, including but not limited to:</w:t>
      </w:r>
    </w:p>
    <w:p>
      <w:pPr>
        <w:pStyle w:val="Compact"/>
        <w:numPr>
          <w:ilvl w:val="0"/>
          <w:numId w:val="1002"/>
        </w:numPr>
      </w:pPr>
      <w:r>
        <w:rPr>
          <w:lang w:val="en"/>
        </w:rPr>
        <w:t xml:space="preserve">Source code and technical architecture of the platform</w:t>
      </w:r>
    </w:p>
    <w:p>
      <w:pPr>
        <w:pStyle w:val="Compact"/>
        <w:numPr>
          <w:ilvl w:val="0"/>
          <w:numId w:val="1002"/>
        </w:numPr>
      </w:pPr>
      <w:r>
        <w:rPr>
          <w:lang w:val="en"/>
        </w:rPr>
        <w:t xml:space="preserve">Decision DNA, detection and classification engines</w:t>
      </w:r>
    </w:p>
    <w:p>
      <w:pPr>
        <w:pStyle w:val="Compact"/>
        <w:numPr>
          <w:ilvl w:val="0"/>
          <w:numId w:val="1002"/>
        </w:numPr>
      </w:pPr>
      <w:r>
        <w:rPr>
          <w:lang w:val="en"/>
        </w:rPr>
        <w:t xml:space="preserve">Trade secrets, designs and software</w:t>
      </w:r>
    </w:p>
    <w:p>
      <w:pPr>
        <w:pStyle w:val="Compact"/>
        <w:numPr>
          <w:ilvl w:val="0"/>
          <w:numId w:val="1002"/>
        </w:numPr>
      </w:pPr>
      <w:r>
        <w:rPr>
          <w:lang w:val="en"/>
        </w:rPr>
        <w:t xml:space="preserve">Financial records, valuation models and operating assumptions</w:t>
      </w:r>
    </w:p>
    <w:p>
      <w:pPr>
        <w:pStyle w:val="Compact"/>
        <w:numPr>
          <w:ilvl w:val="0"/>
          <w:numId w:val="1002"/>
        </w:numPr>
      </w:pPr>
      <w:r>
        <w:rPr>
          <w:lang w:val="en"/>
        </w:rPr>
        <w:t xml:space="preserve">Strategic, operational and marketing plans</w:t>
      </w:r>
    </w:p>
    <w:p>
      <w:pPr>
        <w:pStyle w:val="Compact"/>
        <w:numPr>
          <w:ilvl w:val="0"/>
          <w:numId w:val="1002"/>
        </w:numPr>
      </w:pPr>
      <w:r>
        <w:rPr>
          <w:lang w:val="en"/>
        </w:rPr>
        <w:t xml:space="preserve">Customer, partner and vendor lists</w:t>
      </w:r>
    </w:p>
    <w:p>
      <w:pPr>
        <w:pStyle w:val="Compact"/>
        <w:numPr>
          <w:ilvl w:val="0"/>
          <w:numId w:val="1002"/>
        </w:numPr>
      </w:pPr>
      <w:r>
        <w:rPr>
          <w:lang w:val="en"/>
        </w:rPr>
        <w:t xml:space="preserve">Employee, founder and shareholder data</w:t>
      </w:r>
    </w:p>
    <w:p>
      <w:pPr>
        <w:pStyle w:val="Compact"/>
        <w:numPr>
          <w:ilvl w:val="0"/>
          <w:numId w:val="1002"/>
        </w:numPr>
      </w:pPr>
      <w:r>
        <w:rPr>
          <w:lang w:val="en"/>
        </w:rPr>
        <w:t xml:space="preserve">Any information relating to regulatory compliance or intellectual property</w:t>
      </w:r>
    </w:p>
    <w:p>
      <w:pPr>
        <w:pStyle w:val="Compact"/>
        <w:numPr>
          <w:ilvl w:val="0"/>
          <w:numId w:val="1002"/>
        </w:numPr>
      </w:pPr>
      <w:r>
        <w:rPr>
          <w:lang w:val="en"/>
        </w:rPr>
        <w:t xml:space="preserve">Any data derived from or related to the above</w:t>
      </w:r>
    </w:p>
    <w:p>
      <w:pPr>
        <w:pStyle w:val="Heading3"/>
      </w:pPr>
      <w:bookmarkStart w:id="25" w:name="_a6e5e76f04cd3ea16ebb035dd5ec3e26ba11ae6"/>
      <w:r>
        <w:rPr>
          <w:lang w:val="en"/>
        </w:rPr>
        <w:t xml:space="preserve">2.2 الطرف | Party</w:t>
      </w:r>
      <w:bookmarkEnd w:id="25"/>
    </w:p>
    <w:p>
      <w:pPr>
        <w:pStyle w:val="FirstParagraph"/>
      </w:pPr>
      <w:r>
        <w:rPr>
          <w:b/>
          <w:bCs/>
          <w:lang w:val="en"/>
        </w:rPr>
        <w:t xml:space="preserve">العربية:</w:t>
      </w:r>
      <w:r>
        <w:rPr>
          <w:lang w:val="en"/>
        </w:rPr>
        <w:t xml:space="preserve"> </w:t>
      </w:r>
      <w:r>
        <w:rPr>
          <w:lang w:val="en"/>
        </w:rPr>
        <w:t xml:space="preserve">يشمل الطرف الموقّع، والشركة الأم، والشركات التابعة، والموظفين، والمتعاقدين المستقلين المفوَّضين من الطرف لتنفيذ أو تقييم موضوع الاتفاقية.</w:t>
      </w:r>
    </w:p>
    <w:p>
      <w:pPr>
        <w:pStyle w:val="BodyText"/>
      </w:pPr>
      <w:r>
        <w:rPr>
          <w:b/>
          <w:bCs/>
          <w:lang w:val="en"/>
        </w:rPr>
        <w:t xml:space="preserve">English:</w:t>
      </w:r>
      <w:r>
        <w:rPr>
          <w:lang w:val="en"/>
        </w:rPr>
        <w:t xml:space="preserve"> </w:t>
      </w:r>
      <w:r>
        <w:rPr>
          <w:lang w:val="en"/>
        </w:rPr>
        <w:t xml:space="preserve">Includes the signing Party, its parent company, subsidiaries, employees, and independent contractors authorized to execute or evaluate the subject matter of this Agreement.</w:t>
      </w:r>
    </w:p>
    <w:p>
      <w:pPr>
        <w:pStyle w:val="Heading3"/>
      </w:pPr>
      <w:bookmarkStart w:id="26" w:name="_56ced81f443f72a22f53efeb0eb9187364f0707"/>
      <w:r>
        <w:rPr>
          <w:lang w:val="en"/>
        </w:rPr>
        <w:t xml:space="preserve">2.3 المشروع | Project</w:t>
      </w:r>
      <w:bookmarkEnd w:id="26"/>
    </w:p>
    <w:p>
      <w:pPr>
        <w:pStyle w:val="FirstParagraph"/>
      </w:pPr>
      <w:r>
        <w:rPr>
          <w:b/>
          <w:bCs/>
          <w:lang w:val="en"/>
        </w:rPr>
        <w:t xml:space="preserve">العربية:</w:t>
      </w:r>
      <w:r>
        <w:rPr>
          <w:lang w:val="en"/>
        </w:rPr>
        <w:t xml:space="preserve"> </w:t>
      </w:r>
      <w:r>
        <w:rPr>
          <w:lang w:val="en"/>
        </w:rPr>
        <w:t xml:space="preserve">جميع الاتفاقيات والتعاملات التي تنشأ بين الطرفين، بما في ذلك الاستثمار أو الشراكة أو التعاون التجاري.</w:t>
      </w:r>
    </w:p>
    <w:p>
      <w:pPr>
        <w:pStyle w:val="BodyText"/>
      </w:pPr>
      <w:r>
        <w:rPr>
          <w:b/>
          <w:bCs/>
          <w:lang w:val="en"/>
        </w:rPr>
        <w:t xml:space="preserve">English:</w:t>
      </w:r>
      <w:r>
        <w:rPr>
          <w:lang w:val="en"/>
        </w:rPr>
        <w:t xml:space="preserve"> </w:t>
      </w:r>
      <w:r>
        <w:rPr>
          <w:lang w:val="en"/>
        </w:rPr>
        <w:t xml:space="preserve">All agreements and dealings arising between the Parties, including investment, partnership or commercial cooperation.</w:t>
      </w:r>
    </w:p>
    <w:p>
      <w:r>
        <w:pict>
          <v:rect style="width:0;height:1.5pt" o:hralign="center" o:hrstd="t" o:hr="t"/>
        </w:pict>
      </w:r>
    </w:p>
    <w:p>
      <w:pPr>
        <w:pStyle w:val="Heading2"/>
      </w:pPr>
      <w:bookmarkStart w:id="27" w:name="_33947b549db9dc81188a7b0e25db888a8f233e9"/>
      <w:r>
        <w:rPr>
          <w:lang w:val="en"/>
        </w:rPr>
        <w:t xml:space="preserve">المادة (3): المدة | Article 3: Term</w:t>
      </w:r>
      <w:bookmarkEnd w:id="27"/>
    </w:p>
    <w:p>
      <w:pPr>
        <w:pStyle w:val="FirstParagraph"/>
      </w:pPr>
      <w:r>
        <w:rPr>
          <w:b/>
          <w:bCs/>
          <w:lang w:val="en"/>
        </w:rPr>
        <w:t xml:space="preserve">3.1</w:t>
      </w:r>
      <w:r>
        <w:rPr>
          <w:lang w:val="en"/>
        </w:rPr>
        <w:t xml:space="preserve"> </w:t>
      </w:r>
      <w:r>
        <w:rPr>
          <w:lang w:val="en"/>
        </w:rPr>
        <w:t xml:space="preserve">تبدأ هذه الاتفاقية من تاريخ التوقيع وتظل سارية لمدة سنة تقويمية واحدة (1).</w:t>
      </w:r>
    </w:p>
    <w:p>
      <w:pPr>
        <w:pStyle w:val="BodyText"/>
      </w:pPr>
      <w:r>
        <w:rPr>
          <w:b/>
          <w:bCs/>
          <w:lang w:val="en"/>
        </w:rPr>
        <w:t xml:space="preserve">3.1 EN:</w:t>
      </w:r>
      <w:r>
        <w:rPr>
          <w:lang w:val="en"/>
        </w:rPr>
        <w:t xml:space="preserve"> </w:t>
      </w:r>
      <w:r>
        <w:rPr>
          <w:lang w:val="en"/>
        </w:rPr>
        <w:t xml:space="preserve">This Agreement commences on the date of signature and remains valid for one (1) calendar year.</w:t>
      </w:r>
    </w:p>
    <w:p>
      <w:pPr>
        <w:pStyle w:val="BodyText"/>
      </w:pPr>
      <w:r>
        <w:rPr>
          <w:b/>
          <w:bCs/>
          <w:lang w:val="en"/>
        </w:rPr>
        <w:t xml:space="preserve">3.2</w:t>
      </w:r>
      <w:r>
        <w:rPr>
          <w:lang w:val="en"/>
        </w:rPr>
        <w:t xml:space="preserve"> </w:t>
      </w:r>
      <w:r>
        <w:rPr>
          <w:lang w:val="en"/>
        </w:rPr>
        <w:t xml:space="preserve">تُجدَّد تلقائيًا لمدد مماثلة، ما لم يُخطر أحد الطرفين الآخر كتابيًا بعدم رغبته في التجديد قبل ثلاثين (30) يومًا من تاريخ الانتهاء.</w:t>
      </w:r>
    </w:p>
    <w:p>
      <w:pPr>
        <w:pStyle w:val="BodyText"/>
      </w:pPr>
      <w:r>
        <w:rPr>
          <w:b/>
          <w:bCs/>
          <w:lang w:val="en"/>
        </w:rPr>
        <w:t xml:space="preserve">3.2 EN:</w:t>
      </w:r>
      <w:r>
        <w:rPr>
          <w:lang w:val="en"/>
        </w:rPr>
        <w:t xml:space="preserve"> </w:t>
      </w:r>
      <w:r>
        <w:rPr>
          <w:lang w:val="en"/>
        </w:rPr>
        <w:t xml:space="preserve">It shall be automatically renewed for similar periods, unless either Party provides written notice of non-renewal at least thirty (30) days before the expiry date.</w:t>
      </w:r>
    </w:p>
    <w:p>
      <w:pPr>
        <w:pStyle w:val="BodyText"/>
      </w:pPr>
      <w:r>
        <w:rPr>
          <w:b/>
          <w:bCs/>
          <w:lang w:val="en"/>
        </w:rPr>
        <w:t xml:space="preserve">3.3</w:t>
      </w:r>
      <w:r>
        <w:rPr>
          <w:lang w:val="en"/>
        </w:rPr>
        <w:t xml:space="preserve"> </w:t>
      </w:r>
      <w:r>
        <w:rPr>
          <w:lang w:val="en"/>
        </w:rPr>
        <w:t xml:space="preserve">تظل التزامات السرية سارية المفعول لمدة عشر (10) سنوات من تاريخ انتهاء أو إنهاء الاتفاقية.</w:t>
      </w:r>
    </w:p>
    <w:p>
      <w:pPr>
        <w:pStyle w:val="BodyText"/>
      </w:pPr>
      <w:r>
        <w:rPr>
          <w:b/>
          <w:bCs/>
          <w:lang w:val="en"/>
        </w:rPr>
        <w:t xml:space="preserve">3.3 EN:</w:t>
      </w:r>
      <w:r>
        <w:rPr>
          <w:lang w:val="en"/>
        </w:rPr>
        <w:t xml:space="preserve"> </w:t>
      </w:r>
      <w:r>
        <w:rPr>
          <w:lang w:val="en"/>
        </w:rPr>
        <w:t xml:space="preserve">Confidentiality obligations shall survive for ten (10) calendar years from the date of expiry or termination of this Agreement.</w:t>
      </w:r>
    </w:p>
    <w:p>
      <w:r>
        <w:pict>
          <v:rect style="width:0;height:1.5pt" o:hralign="center" o:hrstd="t" o:hr="t"/>
        </w:pict>
      </w:r>
    </w:p>
    <w:p>
      <w:pPr>
        <w:pStyle w:val="Heading2"/>
      </w:pPr>
      <w:bookmarkStart w:id="28" w:name="_bd7c8132cab8cac271fe7ef38cd2079183e85a5"/>
      <w:r>
        <w:rPr>
          <w:lang w:val="en"/>
        </w:rPr>
        <w:t xml:space="preserve">المادة (4): الالتزامات الأساسية | Article 4: Core Obligations</w:t>
      </w:r>
      <w:bookmarkEnd w:id="28"/>
    </w:p>
    <w:p>
      <w:pPr>
        <w:pStyle w:val="FirstParagraph"/>
      </w:pPr>
      <w:r>
        <w:rPr>
          <w:b/>
          <w:bCs/>
          <w:lang w:val="en"/>
        </w:rPr>
        <w:t xml:space="preserve">العربية:</w:t>
      </w:r>
      <w:r>
        <w:rPr>
          <w:lang w:val="en"/>
        </w:rPr>
        <w:t xml:space="preserve"> </w:t>
      </w:r>
      <w:r>
        <w:rPr>
          <w:lang w:val="en"/>
        </w:rPr>
        <w:t xml:space="preserve">يلتزم الطرف الثاني بما يلي:</w:t>
      </w:r>
    </w:p>
    <w:p>
      <w:pPr>
        <w:pStyle w:val="Compact"/>
        <w:numPr>
          <w:ilvl w:val="0"/>
          <w:numId w:val="1003"/>
        </w:numPr>
      </w:pPr>
      <w:r>
        <w:rPr>
          <w:b/>
          <w:bCs/>
          <w:lang w:val="en"/>
        </w:rPr>
        <w:t xml:space="preserve">4.1</w:t>
      </w:r>
      <w:r>
        <w:rPr>
          <w:lang w:val="en"/>
        </w:rPr>
        <w:t xml:space="preserve"> </w:t>
      </w:r>
      <w:r>
        <w:rPr>
          <w:lang w:val="en"/>
        </w:rPr>
        <w:t xml:space="preserve">الحفاظ على سرية المعلومات السرية، وعدم الإفصاح عنها لأي طرف ثالث دون موافقة كتابية مسبقة من الطرف الأول.</w:t>
      </w:r>
    </w:p>
    <w:p>
      <w:pPr>
        <w:pStyle w:val="Compact"/>
        <w:numPr>
          <w:ilvl w:val="0"/>
          <w:numId w:val="1003"/>
        </w:numPr>
      </w:pPr>
      <w:r>
        <w:rPr>
          <w:b/>
          <w:bCs/>
          <w:lang w:val="en"/>
        </w:rPr>
        <w:t xml:space="preserve">4.2</w:t>
      </w:r>
      <w:r>
        <w:rPr>
          <w:lang w:val="en"/>
        </w:rPr>
        <w:t xml:space="preserve"> </w:t>
      </w:r>
      <w:r>
        <w:rPr>
          <w:lang w:val="en"/>
        </w:rPr>
        <w:t xml:space="preserve">استخدام المعلومات السرية فقط لغرض التقييم الاستثماري المحدد في المادة (1).</w:t>
      </w:r>
    </w:p>
    <w:p>
      <w:pPr>
        <w:pStyle w:val="Compact"/>
        <w:numPr>
          <w:ilvl w:val="0"/>
          <w:numId w:val="1003"/>
        </w:numPr>
      </w:pPr>
      <w:r>
        <w:rPr>
          <w:b/>
          <w:bCs/>
          <w:lang w:val="en"/>
        </w:rPr>
        <w:t xml:space="preserve">4.3</w:t>
      </w:r>
      <w:r>
        <w:rPr>
          <w:lang w:val="en"/>
        </w:rPr>
        <w:t xml:space="preserve"> </w:t>
      </w:r>
      <w:r>
        <w:rPr>
          <w:lang w:val="en"/>
        </w:rPr>
        <w:t xml:space="preserve">عدم نسخ أو إعادة إنتاج أي مواد تحتوي على معلومات سرية، إلا بالقدر الضروري للغرض المتفق عليه.</w:t>
      </w:r>
    </w:p>
    <w:p>
      <w:pPr>
        <w:pStyle w:val="Compact"/>
        <w:numPr>
          <w:ilvl w:val="0"/>
          <w:numId w:val="1003"/>
        </w:numPr>
      </w:pPr>
      <w:r>
        <w:rPr>
          <w:b/>
          <w:bCs/>
          <w:lang w:val="en"/>
        </w:rPr>
        <w:t xml:space="preserve">4.4</w:t>
      </w:r>
      <w:r>
        <w:rPr>
          <w:lang w:val="en"/>
        </w:rPr>
        <w:t xml:space="preserve"> </w:t>
      </w:r>
      <w:r>
        <w:rPr>
          <w:lang w:val="en"/>
        </w:rPr>
        <w:t xml:space="preserve">عدم استخدام المعلومات السرية لأي غرض تنافسي أو لتطوير منتجات أو خدمات مشابهة.</w:t>
      </w:r>
    </w:p>
    <w:p>
      <w:pPr>
        <w:pStyle w:val="Compact"/>
        <w:numPr>
          <w:ilvl w:val="0"/>
          <w:numId w:val="1003"/>
        </w:numPr>
      </w:pPr>
      <w:r>
        <w:rPr>
          <w:b/>
          <w:bCs/>
          <w:lang w:val="en"/>
        </w:rPr>
        <w:t xml:space="preserve">4.5</w:t>
      </w:r>
      <w:r>
        <w:rPr>
          <w:lang w:val="en"/>
        </w:rPr>
        <w:t xml:space="preserve"> </w:t>
      </w:r>
      <w:r>
        <w:rPr>
          <w:lang w:val="en"/>
        </w:rPr>
        <w:t xml:space="preserve">عدم عكس هندسة أو تحليل أو تفكيك أي جزء من منصة حِصْن أو شيفرتها المصدرية.</w:t>
      </w:r>
    </w:p>
    <w:p>
      <w:pPr>
        <w:pStyle w:val="Compact"/>
        <w:numPr>
          <w:ilvl w:val="0"/>
          <w:numId w:val="1003"/>
        </w:numPr>
      </w:pPr>
      <w:r>
        <w:rPr>
          <w:b/>
          <w:bCs/>
          <w:lang w:val="en"/>
        </w:rPr>
        <w:t xml:space="preserve">4.6</w:t>
      </w:r>
      <w:r>
        <w:rPr>
          <w:lang w:val="en"/>
        </w:rPr>
        <w:t xml:space="preserve"> </w:t>
      </w:r>
      <w:r>
        <w:rPr>
          <w:lang w:val="en"/>
        </w:rPr>
        <w:t xml:space="preserve">عدم الإفصاح عن اسم الطرف الأول «كمرجع» في أي عرض أو حملة تسويقية دون إذن كتابي مسبق.</w:t>
      </w:r>
    </w:p>
    <w:p>
      <w:pPr>
        <w:pStyle w:val="FirstParagraph"/>
      </w:pPr>
      <w:r>
        <w:rPr>
          <w:b/>
          <w:bCs/>
          <w:lang w:val="en"/>
        </w:rPr>
        <w:t xml:space="preserve">English:</w:t>
      </w:r>
      <w:r>
        <w:rPr>
          <w:lang w:val="en"/>
        </w:rPr>
        <w:t xml:space="preserve"> </w:t>
      </w:r>
      <w:r>
        <w:rPr>
          <w:lang w:val="en"/>
        </w:rPr>
        <w:t xml:space="preserve">The Second Party shall:</w:t>
      </w:r>
    </w:p>
    <w:p>
      <w:pPr>
        <w:pStyle w:val="Compact"/>
        <w:numPr>
          <w:ilvl w:val="0"/>
          <w:numId w:val="1004"/>
        </w:numPr>
      </w:pPr>
      <w:r>
        <w:rPr>
          <w:b/>
          <w:bCs/>
          <w:lang w:val="en"/>
        </w:rPr>
        <w:t xml:space="preserve">4.1</w:t>
      </w:r>
      <w:r>
        <w:rPr>
          <w:lang w:val="en"/>
        </w:rPr>
        <w:t xml:space="preserve"> </w:t>
      </w:r>
      <w:r>
        <w:rPr>
          <w:lang w:val="en"/>
        </w:rPr>
        <w:t xml:space="preserve">Maintain the confidentiality of Confidential Information and not disclose it to any third party without prior written consent from the First Party.</w:t>
      </w:r>
    </w:p>
    <w:p>
      <w:pPr>
        <w:pStyle w:val="Compact"/>
        <w:numPr>
          <w:ilvl w:val="0"/>
          <w:numId w:val="1004"/>
        </w:numPr>
      </w:pPr>
      <w:r>
        <w:rPr>
          <w:b/>
          <w:bCs/>
          <w:lang w:val="en"/>
        </w:rPr>
        <w:t xml:space="preserve">4.2</w:t>
      </w:r>
      <w:r>
        <w:rPr>
          <w:lang w:val="en"/>
        </w:rPr>
        <w:t xml:space="preserve"> </w:t>
      </w:r>
      <w:r>
        <w:rPr>
          <w:lang w:val="en"/>
        </w:rPr>
        <w:t xml:space="preserve">Use Confidential Information solely for the investment evaluation purpose defined in Article (1).</w:t>
      </w:r>
    </w:p>
    <w:p>
      <w:pPr>
        <w:pStyle w:val="Compact"/>
        <w:numPr>
          <w:ilvl w:val="0"/>
          <w:numId w:val="1004"/>
        </w:numPr>
      </w:pPr>
      <w:r>
        <w:rPr>
          <w:b/>
          <w:bCs/>
          <w:lang w:val="en"/>
        </w:rPr>
        <w:t xml:space="preserve">4.3</w:t>
      </w:r>
      <w:r>
        <w:rPr>
          <w:lang w:val="en"/>
        </w:rPr>
        <w:t xml:space="preserve"> </w:t>
      </w:r>
      <w:r>
        <w:rPr>
          <w:lang w:val="en"/>
        </w:rPr>
        <w:t xml:space="preserve">Not copy or reproduce any materials containing Confidential Information, except to the extent strictly necessary for the agreed purpose.</w:t>
      </w:r>
    </w:p>
    <w:p>
      <w:pPr>
        <w:pStyle w:val="Compact"/>
        <w:numPr>
          <w:ilvl w:val="0"/>
          <w:numId w:val="1004"/>
        </w:numPr>
      </w:pPr>
      <w:r>
        <w:rPr>
          <w:b/>
          <w:bCs/>
          <w:lang w:val="en"/>
        </w:rPr>
        <w:t xml:space="preserve">4.4</w:t>
      </w:r>
      <w:r>
        <w:rPr>
          <w:lang w:val="en"/>
        </w:rPr>
        <w:t xml:space="preserve"> </w:t>
      </w:r>
      <w:r>
        <w:rPr>
          <w:lang w:val="en"/>
        </w:rPr>
        <w:t xml:space="preserve">Not use Confidential Information for any competitive purpose or to develop similar products or services.</w:t>
      </w:r>
    </w:p>
    <w:p>
      <w:pPr>
        <w:pStyle w:val="Compact"/>
        <w:numPr>
          <w:ilvl w:val="0"/>
          <w:numId w:val="1004"/>
        </w:numPr>
      </w:pPr>
      <w:r>
        <w:rPr>
          <w:b/>
          <w:bCs/>
          <w:lang w:val="en"/>
        </w:rPr>
        <w:t xml:space="preserve">4.5</w:t>
      </w:r>
      <w:r>
        <w:rPr>
          <w:lang w:val="en"/>
        </w:rPr>
        <w:t xml:space="preserve"> </w:t>
      </w:r>
      <w:r>
        <w:rPr>
          <w:lang w:val="en"/>
        </w:rPr>
        <w:t xml:space="preserve">Not reverse engineer, analyze or disassemble any part of HISN’s platform or its source code.</w:t>
      </w:r>
    </w:p>
    <w:p>
      <w:pPr>
        <w:pStyle w:val="Compact"/>
        <w:numPr>
          <w:ilvl w:val="0"/>
          <w:numId w:val="1004"/>
        </w:numPr>
      </w:pPr>
      <w:r>
        <w:rPr>
          <w:b/>
          <w:bCs/>
          <w:lang w:val="en"/>
        </w:rPr>
        <w:t xml:space="preserve">4.6</w:t>
      </w:r>
      <w:r>
        <w:rPr>
          <w:lang w:val="en"/>
        </w:rPr>
        <w:t xml:space="preserve"> </w:t>
      </w:r>
      <w:r>
        <w:rPr>
          <w:lang w:val="en"/>
        </w:rPr>
        <w:t xml:space="preserve">Not disclose the First Party’s name</w:t>
      </w:r>
      <w:r>
        <w:rPr>
          <w:lang w:val="en"/>
        </w:rPr>
        <w:t xml:space="preserve"> </w:t>
      </w:r>
      <w:r>
        <w:rPr>
          <w:lang w:val="en"/>
        </w:rPr>
        <w:t xml:space="preserve">“as a reference”</w:t>
      </w:r>
      <w:r>
        <w:rPr>
          <w:lang w:val="en"/>
        </w:rPr>
        <w:t xml:space="preserve"> </w:t>
      </w:r>
      <w:r>
        <w:rPr>
          <w:lang w:val="en"/>
        </w:rPr>
        <w:t xml:space="preserve">in any presentation or marketing campaign without prior written permission.</w:t>
      </w:r>
    </w:p>
    <w:p>
      <w:r>
        <w:pict>
          <v:rect style="width:0;height:1.5pt" o:hralign="center" o:hrstd="t" o:hr="t"/>
        </w:pict>
      </w:r>
    </w:p>
    <w:p>
      <w:pPr>
        <w:pStyle w:val="Heading2"/>
      </w:pPr>
      <w:bookmarkStart w:id="29" w:name="_57344b766b59142a9203d75f27a8d40157b748a"/>
      <w:r>
        <w:rPr>
          <w:lang w:val="en"/>
        </w:rPr>
        <w:t xml:space="preserve">المادة (5): الإفصاح المُقيَّد | Article 5: Restricted Disclosure</w:t>
      </w:r>
      <w:bookmarkEnd w:id="29"/>
    </w:p>
    <w:p>
      <w:pPr>
        <w:pStyle w:val="FirstParagraph"/>
      </w:pPr>
      <w:r>
        <w:rPr>
          <w:b/>
          <w:bCs/>
          <w:lang w:val="en"/>
        </w:rPr>
        <w:t xml:space="preserve">5.1 AR:</w:t>
      </w:r>
      <w:r>
        <w:rPr>
          <w:lang w:val="en"/>
        </w:rPr>
        <w:t xml:space="preserve"> </w:t>
      </w:r>
      <w:r>
        <w:rPr>
          <w:lang w:val="en"/>
        </w:rPr>
        <w:t xml:space="preserve">يجوز للطرف الثاني الإفصاح عن المعلومات السرية لموظفيه أو مستشاريه أو وكلائه على أساس «الحاجة إلى المعرفة» فقط، وبشرط أن يكونوا ملتزمين بالتزامات سرية لا تقل صرامة عن هذه الاتفاقية.</w:t>
      </w:r>
    </w:p>
    <w:p>
      <w:pPr>
        <w:pStyle w:val="BodyText"/>
      </w:pPr>
      <w:r>
        <w:rPr>
          <w:b/>
          <w:bCs/>
          <w:lang w:val="en"/>
        </w:rPr>
        <w:t xml:space="preserve">5.1 EN:</w:t>
      </w:r>
      <w:r>
        <w:rPr>
          <w:lang w:val="en"/>
        </w:rPr>
        <w:t xml:space="preserve"> </w:t>
      </w:r>
      <w:r>
        <w:rPr>
          <w:lang w:val="en"/>
        </w:rPr>
        <w:t xml:space="preserve">The Second Party may disclose Confidential Information to its employees, advisors or agents on a</w:t>
      </w:r>
      <w:r>
        <w:rPr>
          <w:lang w:val="en"/>
        </w:rPr>
        <w:t xml:space="preserve"> </w:t>
      </w:r>
      <w:r>
        <w:rPr>
          <w:lang w:val="en"/>
        </w:rPr>
        <w:t xml:space="preserve">“need-to-know”</w:t>
      </w:r>
      <w:r>
        <w:rPr>
          <w:lang w:val="en"/>
        </w:rPr>
        <w:t xml:space="preserve"> </w:t>
      </w:r>
      <w:r>
        <w:rPr>
          <w:lang w:val="en"/>
        </w:rPr>
        <w:t xml:space="preserve">basis only, provided they are bound by confidentiality obligations no less stringent than this Agreement.</w:t>
      </w:r>
    </w:p>
    <w:p>
      <w:pPr>
        <w:pStyle w:val="BodyText"/>
      </w:pPr>
      <w:r>
        <w:rPr>
          <w:b/>
          <w:bCs/>
          <w:lang w:val="en"/>
        </w:rPr>
        <w:t xml:space="preserve">5.2 AR:</w:t>
      </w:r>
      <w:r>
        <w:rPr>
          <w:lang w:val="en"/>
        </w:rPr>
        <w:t xml:space="preserve"> </w:t>
      </w:r>
      <w:r>
        <w:rPr>
          <w:lang w:val="en"/>
        </w:rPr>
        <w:t xml:space="preserve">يبقى الطرف الثاني مسؤولًا بالكامل عن أي خرق لهذه الاتفاقية من جانب موظفيه أو مستشاريه أو وكلائه.</w:t>
      </w:r>
    </w:p>
    <w:p>
      <w:pPr>
        <w:pStyle w:val="BodyText"/>
      </w:pPr>
      <w:r>
        <w:rPr>
          <w:b/>
          <w:bCs/>
          <w:lang w:val="en"/>
        </w:rPr>
        <w:t xml:space="preserve">5.2 EN:</w:t>
      </w:r>
      <w:r>
        <w:rPr>
          <w:lang w:val="en"/>
        </w:rPr>
        <w:t xml:space="preserve"> </w:t>
      </w:r>
      <w:r>
        <w:rPr>
          <w:lang w:val="en"/>
        </w:rPr>
        <w:t xml:space="preserve">The Second Party remains fully liable for any breach of this Agreement by its employees, advisors or agents.</w:t>
      </w:r>
    </w:p>
    <w:p>
      <w:pPr>
        <w:pStyle w:val="BodyText"/>
      </w:pPr>
      <w:r>
        <w:rPr>
          <w:b/>
          <w:bCs/>
          <w:lang w:val="en"/>
        </w:rPr>
        <w:t xml:space="preserve">5.3 AR:</w:t>
      </w:r>
      <w:r>
        <w:rPr>
          <w:lang w:val="en"/>
        </w:rPr>
        <w:t xml:space="preserve"> </w:t>
      </w:r>
      <w:r>
        <w:rPr>
          <w:lang w:val="en"/>
        </w:rPr>
        <w:t xml:space="preserve">على الطرف الثاني أن يحتفظ بسجل محدَّث بالأطراف التي تم الإفصاح لها، وأن يُقدِّمه للطرف الأول عند الطلب.</w:t>
      </w:r>
    </w:p>
    <w:p>
      <w:pPr>
        <w:pStyle w:val="BodyText"/>
      </w:pPr>
      <w:r>
        <w:rPr>
          <w:b/>
          <w:bCs/>
          <w:lang w:val="en"/>
        </w:rPr>
        <w:t xml:space="preserve">5.3 EN:</w:t>
      </w:r>
      <w:r>
        <w:rPr>
          <w:lang w:val="en"/>
        </w:rPr>
        <w:t xml:space="preserve"> </w:t>
      </w:r>
      <w:r>
        <w:rPr>
          <w:lang w:val="en"/>
        </w:rPr>
        <w:t xml:space="preserve">The Second Party shall maintain an up-to-date register of parties to whom information has been disclosed and shall provide it to the First Party upon request.</w:t>
      </w:r>
    </w:p>
    <w:p>
      <w:r>
        <w:pict>
          <v:rect style="width:0;height:1.5pt" o:hralign="center" o:hrstd="t" o:hr="t"/>
        </w:pict>
      </w:r>
    </w:p>
    <w:p>
      <w:pPr>
        <w:pStyle w:val="Heading2"/>
      </w:pPr>
      <w:bookmarkStart w:id="30" w:name="_a30ef60178beb836cae5641a7240c8d16dba13d"/>
      <w:r>
        <w:rPr>
          <w:lang w:val="en"/>
        </w:rPr>
        <w:t xml:space="preserve">المادة (6): حماية البيانات الأمنية | Article 6: Data Security</w:t>
      </w:r>
      <w:bookmarkEnd w:id="30"/>
    </w:p>
    <w:p>
      <w:pPr>
        <w:pStyle w:val="FirstParagraph"/>
      </w:pPr>
      <w:r>
        <w:rPr>
          <w:b/>
          <w:bCs/>
          <w:lang w:val="en"/>
        </w:rPr>
        <w:t xml:space="preserve">العربية:</w:t>
      </w:r>
      <w:r>
        <w:rPr>
          <w:lang w:val="en"/>
        </w:rPr>
        <w:t xml:space="preserve"> </w:t>
      </w:r>
      <w:r>
        <w:rPr>
          <w:lang w:val="en"/>
        </w:rPr>
        <w:t xml:space="preserve">على الطرف الثاني:</w:t>
      </w:r>
    </w:p>
    <w:p>
      <w:pPr>
        <w:pStyle w:val="Compact"/>
        <w:numPr>
          <w:ilvl w:val="0"/>
          <w:numId w:val="1005"/>
        </w:numPr>
      </w:pPr>
      <w:r>
        <w:rPr>
          <w:b/>
          <w:bCs/>
          <w:lang w:val="en"/>
        </w:rPr>
        <w:t xml:space="preserve">6.1</w:t>
      </w:r>
      <w:r>
        <w:rPr>
          <w:lang w:val="en"/>
        </w:rPr>
        <w:t xml:space="preserve"> </w:t>
      </w:r>
      <w:r>
        <w:rPr>
          <w:lang w:val="en"/>
        </w:rPr>
        <w:t xml:space="preserve">تطبيق تدابير أمنية معقولة ومنتظمة، تشمل التشفير، للحد من الوصول غير المصرَّح به.</w:t>
      </w:r>
    </w:p>
    <w:p>
      <w:pPr>
        <w:pStyle w:val="Compact"/>
        <w:numPr>
          <w:ilvl w:val="0"/>
          <w:numId w:val="1005"/>
        </w:numPr>
      </w:pPr>
      <w:r>
        <w:rPr>
          <w:b/>
          <w:bCs/>
          <w:lang w:val="en"/>
        </w:rPr>
        <w:t xml:space="preserve">6.2</w:t>
      </w:r>
      <w:r>
        <w:rPr>
          <w:lang w:val="en"/>
        </w:rPr>
        <w:t xml:space="preserve"> </w:t>
      </w:r>
      <w:r>
        <w:rPr>
          <w:lang w:val="en"/>
        </w:rPr>
        <w:t xml:space="preserve">إخطار الطرف الأول فورًا وكتابيًا — وفي موعد لا يتجاوز ثمانٍ وأربعين (48) ساعة — عند علمه بأي وصول غير مصرَّح به أو تسريب أو فقدان.</w:t>
      </w:r>
    </w:p>
    <w:p>
      <w:pPr>
        <w:pStyle w:val="Compact"/>
        <w:numPr>
          <w:ilvl w:val="0"/>
          <w:numId w:val="1005"/>
        </w:numPr>
      </w:pPr>
      <w:r>
        <w:rPr>
          <w:b/>
          <w:bCs/>
          <w:lang w:val="en"/>
        </w:rPr>
        <w:t xml:space="preserve">6.3</w:t>
      </w:r>
      <w:r>
        <w:rPr>
          <w:lang w:val="en"/>
        </w:rPr>
        <w:t xml:space="preserve"> </w:t>
      </w:r>
      <w:r>
        <w:rPr>
          <w:lang w:val="en"/>
        </w:rPr>
        <w:t xml:space="preserve">التعاون الكامل في احتواء أي حادث أمني ومعالجة آثاره.</w:t>
      </w:r>
    </w:p>
    <w:p>
      <w:pPr>
        <w:pStyle w:val="Compact"/>
        <w:numPr>
          <w:ilvl w:val="0"/>
          <w:numId w:val="1005"/>
        </w:numPr>
      </w:pPr>
      <w:r>
        <w:rPr>
          <w:b/>
          <w:bCs/>
          <w:lang w:val="en"/>
        </w:rPr>
        <w:t xml:space="preserve">6.4</w:t>
      </w:r>
      <w:r>
        <w:rPr>
          <w:lang w:val="en"/>
        </w:rPr>
        <w:t xml:space="preserve"> </w:t>
      </w:r>
      <w:r>
        <w:rPr>
          <w:lang w:val="en"/>
        </w:rPr>
        <w:t xml:space="preserve">تخزين ومعالجة المعلومات السرية في بيئات تستوفي معايير الهيئة الوطنية للأمن السيبراني (NCA) ومتطلبات البنك المركزي السعودي (SAMA).</w:t>
      </w:r>
    </w:p>
    <w:p>
      <w:pPr>
        <w:pStyle w:val="Compact"/>
        <w:numPr>
          <w:ilvl w:val="0"/>
          <w:numId w:val="1005"/>
        </w:numPr>
      </w:pPr>
      <w:r>
        <w:rPr>
          <w:b/>
          <w:bCs/>
          <w:lang w:val="en"/>
        </w:rPr>
        <w:t xml:space="preserve">6.5</w:t>
      </w:r>
      <w:r>
        <w:rPr>
          <w:lang w:val="en"/>
        </w:rPr>
        <w:t xml:space="preserve"> </w:t>
      </w:r>
      <w:r>
        <w:rPr>
          <w:lang w:val="en"/>
        </w:rPr>
        <w:t xml:space="preserve">إتاحة حق التدقيق للطرف الأول أو لأي جهة تنظيمية للتحقق من الالتزام بهذه الاتفاقية.</w:t>
      </w:r>
    </w:p>
    <w:p>
      <w:pPr>
        <w:pStyle w:val="FirstParagraph"/>
      </w:pPr>
      <w:r>
        <w:rPr>
          <w:b/>
          <w:bCs/>
          <w:lang w:val="en"/>
        </w:rPr>
        <w:t xml:space="preserve">English:</w:t>
      </w:r>
      <w:r>
        <w:rPr>
          <w:lang w:val="en"/>
        </w:rPr>
        <w:t xml:space="preserve"> </w:t>
      </w:r>
      <w:r>
        <w:rPr>
          <w:lang w:val="en"/>
        </w:rPr>
        <w:t xml:space="preserve">The Second Party shall:</w:t>
      </w:r>
    </w:p>
    <w:p>
      <w:pPr>
        <w:pStyle w:val="Compact"/>
        <w:numPr>
          <w:ilvl w:val="0"/>
          <w:numId w:val="1006"/>
        </w:numPr>
      </w:pPr>
      <w:r>
        <w:rPr>
          <w:b/>
          <w:bCs/>
          <w:lang w:val="en"/>
        </w:rPr>
        <w:t xml:space="preserve">6.1</w:t>
      </w:r>
      <w:r>
        <w:rPr>
          <w:lang w:val="en"/>
        </w:rPr>
        <w:t xml:space="preserve"> </w:t>
      </w:r>
      <w:r>
        <w:rPr>
          <w:lang w:val="en"/>
        </w:rPr>
        <w:t xml:space="preserve">Implement reasonable and regular security measures, including encryption, to limit unauthorized access.</w:t>
      </w:r>
    </w:p>
    <w:p>
      <w:pPr>
        <w:pStyle w:val="Compact"/>
        <w:numPr>
          <w:ilvl w:val="0"/>
          <w:numId w:val="1006"/>
        </w:numPr>
      </w:pPr>
      <w:r>
        <w:rPr>
          <w:b/>
          <w:bCs/>
          <w:lang w:val="en"/>
        </w:rPr>
        <w:t xml:space="preserve">6.2</w:t>
      </w:r>
      <w:r>
        <w:rPr>
          <w:lang w:val="en"/>
        </w:rPr>
        <w:t xml:space="preserve"> </w:t>
      </w:r>
      <w:r>
        <w:rPr>
          <w:lang w:val="en"/>
        </w:rPr>
        <w:t xml:space="preserve">Notify the First Party immediately, and no later than forty-eight (48) hours, upon becoming aware of any unauthorized access, disclosure or loss.</w:t>
      </w:r>
    </w:p>
    <w:p>
      <w:pPr>
        <w:pStyle w:val="Compact"/>
        <w:numPr>
          <w:ilvl w:val="0"/>
          <w:numId w:val="1006"/>
        </w:numPr>
      </w:pPr>
      <w:r>
        <w:rPr>
          <w:b/>
          <w:bCs/>
          <w:lang w:val="en"/>
        </w:rPr>
        <w:t xml:space="preserve">6.3</w:t>
      </w:r>
      <w:r>
        <w:rPr>
          <w:lang w:val="en"/>
        </w:rPr>
        <w:t xml:space="preserve"> </w:t>
      </w:r>
      <w:r>
        <w:rPr>
          <w:lang w:val="en"/>
        </w:rPr>
        <w:t xml:space="preserve">Fully cooperate in containing and remediating the effects of any security incident.</w:t>
      </w:r>
    </w:p>
    <w:p>
      <w:pPr>
        <w:pStyle w:val="Compact"/>
        <w:numPr>
          <w:ilvl w:val="0"/>
          <w:numId w:val="1006"/>
        </w:numPr>
      </w:pPr>
      <w:r>
        <w:rPr>
          <w:b/>
          <w:bCs/>
          <w:lang w:val="en"/>
        </w:rPr>
        <w:t xml:space="preserve">6.4</w:t>
      </w:r>
      <w:r>
        <w:rPr>
          <w:lang w:val="en"/>
        </w:rPr>
        <w:t xml:space="preserve"> </w:t>
      </w:r>
      <w:r>
        <w:rPr>
          <w:lang w:val="en"/>
        </w:rPr>
        <w:t xml:space="preserve">Store and process Confidential Information in environments meeting NCA standards and SAMA requirements.</w:t>
      </w:r>
    </w:p>
    <w:p>
      <w:pPr>
        <w:pStyle w:val="Compact"/>
        <w:numPr>
          <w:ilvl w:val="0"/>
          <w:numId w:val="1006"/>
        </w:numPr>
      </w:pPr>
      <w:r>
        <w:rPr>
          <w:b/>
          <w:bCs/>
          <w:lang w:val="en"/>
        </w:rPr>
        <w:t xml:space="preserve">6.5</w:t>
      </w:r>
      <w:r>
        <w:rPr>
          <w:lang w:val="en"/>
        </w:rPr>
        <w:t xml:space="preserve"> </w:t>
      </w:r>
      <w:r>
        <w:rPr>
          <w:lang w:val="en"/>
        </w:rPr>
        <w:t xml:space="preserve">Grant audit rights to the First Party or any regulatory authority to verify compliance.</w:t>
      </w:r>
    </w:p>
    <w:p>
      <w:r>
        <w:pict>
          <v:rect style="width:0;height:1.5pt" o:hralign="center" o:hrstd="t" o:hr="t"/>
        </w:pict>
      </w:r>
    </w:p>
    <w:p>
      <w:pPr>
        <w:pStyle w:val="Heading2"/>
      </w:pPr>
      <w:bookmarkStart w:id="31" w:name="_440ad424c75a596354c587196098358cb33c68b"/>
      <w:r>
        <w:rPr>
          <w:lang w:val="en"/>
        </w:rPr>
        <w:t xml:space="preserve">المادة (7): الاستثناءات | Article 7: Exclusions</w:t>
      </w:r>
      <w:bookmarkEnd w:id="31"/>
    </w:p>
    <w:p>
      <w:pPr>
        <w:pStyle w:val="FirstParagraph"/>
      </w:pPr>
      <w:r>
        <w:rPr>
          <w:b/>
          <w:bCs/>
          <w:lang w:val="en"/>
        </w:rPr>
        <w:t xml:space="preserve">العربية:</w:t>
      </w:r>
      <w:r>
        <w:rPr>
          <w:lang w:val="en"/>
        </w:rPr>
        <w:t xml:space="preserve"> </w:t>
      </w:r>
      <w:r>
        <w:rPr>
          <w:lang w:val="en"/>
        </w:rPr>
        <w:t xml:space="preserve">لا تُعتبر المعلومات سرية إذا كانت:</w:t>
      </w:r>
    </w:p>
    <w:p>
      <w:pPr>
        <w:pStyle w:val="Compact"/>
        <w:numPr>
          <w:ilvl w:val="0"/>
          <w:numId w:val="1007"/>
        </w:numPr>
      </w:pPr>
      <w:r>
        <w:rPr>
          <w:lang w:val="en"/>
        </w:rPr>
        <w:t xml:space="preserve">متاحة للعامة دون خطأ من الطرف الثاني</w:t>
      </w:r>
    </w:p>
    <w:p>
      <w:pPr>
        <w:pStyle w:val="Compact"/>
        <w:numPr>
          <w:ilvl w:val="0"/>
          <w:numId w:val="1007"/>
        </w:numPr>
      </w:pPr>
      <w:r>
        <w:rPr>
          <w:lang w:val="en"/>
        </w:rPr>
        <w:t xml:space="preserve">حصل عليها الطرف الثاني بشكل قانوني من طرف ثالث</w:t>
      </w:r>
    </w:p>
    <w:p>
      <w:pPr>
        <w:pStyle w:val="Compact"/>
        <w:numPr>
          <w:ilvl w:val="0"/>
          <w:numId w:val="1007"/>
        </w:numPr>
      </w:pPr>
      <w:r>
        <w:rPr>
          <w:lang w:val="en"/>
        </w:rPr>
        <w:t xml:space="preserve">معروفة مسبقًا للطرف الثاني دون التزام بالسرية</w:t>
      </w:r>
    </w:p>
    <w:p>
      <w:pPr>
        <w:pStyle w:val="Compact"/>
        <w:numPr>
          <w:ilvl w:val="0"/>
          <w:numId w:val="1007"/>
        </w:numPr>
      </w:pPr>
      <w:r>
        <w:rPr>
          <w:lang w:val="en"/>
        </w:rPr>
        <w:t xml:space="preserve">مطوَّرة بشكل مستقل من الطرف الثاني دون استخدام المعلومات السرية</w:t>
      </w:r>
    </w:p>
    <w:p>
      <w:pPr>
        <w:pStyle w:val="Compact"/>
        <w:numPr>
          <w:ilvl w:val="0"/>
          <w:numId w:val="1007"/>
        </w:numPr>
      </w:pPr>
      <w:r>
        <w:rPr>
          <w:lang w:val="en"/>
        </w:rPr>
        <w:t xml:space="preserve">مطلوب الإفصاح عنها بموجب حكم قضائي أو تنظيمي، مع إخطار مسبق وكتابي للطرف الأول</w:t>
      </w:r>
    </w:p>
    <w:p>
      <w:pPr>
        <w:pStyle w:val="FirstParagraph"/>
      </w:pPr>
      <w:r>
        <w:rPr>
          <w:b/>
          <w:bCs/>
          <w:lang w:val="en"/>
        </w:rPr>
        <w:t xml:space="preserve">English:</w:t>
      </w:r>
      <w:r>
        <w:rPr>
          <w:lang w:val="en"/>
        </w:rPr>
        <w:t xml:space="preserve"> </w:t>
      </w:r>
      <w:r>
        <w:rPr>
          <w:lang w:val="en"/>
        </w:rPr>
        <w:t xml:space="preserve">Information shall not be considered confidential if it:</w:t>
      </w:r>
    </w:p>
    <w:p>
      <w:pPr>
        <w:pStyle w:val="Compact"/>
        <w:numPr>
          <w:ilvl w:val="0"/>
          <w:numId w:val="1008"/>
        </w:numPr>
      </w:pPr>
      <w:r>
        <w:rPr>
          <w:lang w:val="en"/>
        </w:rPr>
        <w:t xml:space="preserve">Is publicly available through no fault of the Second Party</w:t>
      </w:r>
    </w:p>
    <w:p>
      <w:pPr>
        <w:pStyle w:val="Compact"/>
        <w:numPr>
          <w:ilvl w:val="0"/>
          <w:numId w:val="1008"/>
        </w:numPr>
      </w:pPr>
      <w:r>
        <w:rPr>
          <w:lang w:val="en"/>
        </w:rPr>
        <w:t xml:space="preserve">Was lawfully obtained from a third party without confidentiality obligations</w:t>
      </w:r>
    </w:p>
    <w:p>
      <w:pPr>
        <w:pStyle w:val="Compact"/>
        <w:numPr>
          <w:ilvl w:val="0"/>
          <w:numId w:val="1008"/>
        </w:numPr>
      </w:pPr>
      <w:r>
        <w:rPr>
          <w:lang w:val="en"/>
        </w:rPr>
        <w:t xml:space="preserve">Was already known to the Second Party without confidentiality obligations</w:t>
      </w:r>
    </w:p>
    <w:p>
      <w:pPr>
        <w:pStyle w:val="Compact"/>
        <w:numPr>
          <w:ilvl w:val="0"/>
          <w:numId w:val="1008"/>
        </w:numPr>
      </w:pPr>
      <w:r>
        <w:rPr>
          <w:lang w:val="en"/>
        </w:rPr>
        <w:t xml:space="preserve">Was independently developed without use of Confidential Information</w:t>
      </w:r>
    </w:p>
    <w:p>
      <w:pPr>
        <w:pStyle w:val="Compact"/>
        <w:numPr>
          <w:ilvl w:val="0"/>
          <w:numId w:val="1008"/>
        </w:numPr>
      </w:pPr>
      <w:r>
        <w:rPr>
          <w:lang w:val="en"/>
        </w:rPr>
        <w:t xml:space="preserve">Is required to be disclosed by court or regulatory order, with prior written notice to the First Party</w:t>
      </w:r>
    </w:p>
    <w:p>
      <w:r>
        <w:pict>
          <v:rect style="width:0;height:1.5pt" o:hralign="center" o:hrstd="t" o:hr="t"/>
        </w:pict>
      </w:r>
    </w:p>
    <w:p>
      <w:pPr>
        <w:pStyle w:val="Heading2"/>
      </w:pPr>
      <w:bookmarkStart w:id="32" w:name="_2d6113836806f5c7e1da92052fa17d2c7ec8e45"/>
      <w:r>
        <w:rPr>
          <w:lang w:val="en"/>
        </w:rPr>
        <w:t xml:space="preserve">المادة (8): الملكية الفكرية | Article 8: Intellectual Property</w:t>
      </w:r>
      <w:bookmarkEnd w:id="32"/>
    </w:p>
    <w:p>
      <w:pPr>
        <w:pStyle w:val="FirstParagraph"/>
      </w:pPr>
      <w:r>
        <w:rPr>
          <w:b/>
          <w:bCs/>
          <w:lang w:val="en"/>
        </w:rPr>
        <w:t xml:space="preserve">8.1 AR:</w:t>
      </w:r>
      <w:r>
        <w:rPr>
          <w:lang w:val="en"/>
        </w:rPr>
        <w:t xml:space="preserve"> </w:t>
      </w:r>
      <w:r>
        <w:rPr>
          <w:lang w:val="en"/>
        </w:rPr>
        <w:t xml:space="preserve">لا يمنح هذا الاتفاق أي ترخيص صريح أو ضمني لأي حقوق ملكية فكرية.</w:t>
      </w:r>
    </w:p>
    <w:p>
      <w:pPr>
        <w:pStyle w:val="BodyText"/>
      </w:pPr>
      <w:r>
        <w:rPr>
          <w:b/>
          <w:bCs/>
          <w:lang w:val="en"/>
        </w:rPr>
        <w:t xml:space="preserve">8.1 EN:</w:t>
      </w:r>
      <w:r>
        <w:rPr>
          <w:lang w:val="en"/>
        </w:rPr>
        <w:t xml:space="preserve"> </w:t>
      </w:r>
      <w:r>
        <w:rPr>
          <w:lang w:val="en"/>
        </w:rPr>
        <w:t xml:space="preserve">No license, express or implied, is granted under any intellectual property rights.</w:t>
      </w:r>
    </w:p>
    <w:p>
      <w:pPr>
        <w:pStyle w:val="BodyText"/>
      </w:pPr>
      <w:r>
        <w:rPr>
          <w:b/>
          <w:bCs/>
          <w:lang w:val="en"/>
        </w:rPr>
        <w:t xml:space="preserve">8.2 AR:</w:t>
      </w:r>
      <w:r>
        <w:rPr>
          <w:lang w:val="en"/>
        </w:rPr>
        <w:t xml:space="preserve"> </w:t>
      </w:r>
      <w:r>
        <w:rPr>
          <w:lang w:val="en"/>
        </w:rPr>
        <w:t xml:space="preserve">تظل جميع حقوق الملكية الفكرية المتعلقة بمنصة حِصْن مملوكة بالكامل للطرف الأول.</w:t>
      </w:r>
    </w:p>
    <w:p>
      <w:pPr>
        <w:pStyle w:val="BodyText"/>
      </w:pPr>
      <w:r>
        <w:rPr>
          <w:b/>
          <w:bCs/>
          <w:lang w:val="en"/>
        </w:rPr>
        <w:t xml:space="preserve">8.2 EN:</w:t>
      </w:r>
      <w:r>
        <w:rPr>
          <w:lang w:val="en"/>
        </w:rPr>
        <w:t xml:space="preserve"> </w:t>
      </w:r>
      <w:r>
        <w:rPr>
          <w:lang w:val="en"/>
        </w:rPr>
        <w:t xml:space="preserve">All intellectual property rights relating to the HISN platform remain the sole property of the First Party.</w:t>
      </w:r>
    </w:p>
    <w:p>
      <w:pPr>
        <w:pStyle w:val="BodyText"/>
      </w:pPr>
      <w:r>
        <w:rPr>
          <w:b/>
          <w:bCs/>
          <w:lang w:val="en"/>
        </w:rPr>
        <w:t xml:space="preserve">8.3 AR:</w:t>
      </w:r>
      <w:r>
        <w:rPr>
          <w:lang w:val="en"/>
        </w:rPr>
        <w:t xml:space="preserve"> </w:t>
      </w:r>
      <w:r>
        <w:rPr>
          <w:lang w:val="en"/>
        </w:rPr>
        <w:t xml:space="preserve">أي تطوير أو تخصيص يتم بموجب اتفاقيات لاحقة، تظل حقوقه الفكرية مملوكة بالكامل للطرف الأول.</w:t>
      </w:r>
    </w:p>
    <w:p>
      <w:pPr>
        <w:pStyle w:val="BodyText"/>
      </w:pPr>
      <w:r>
        <w:rPr>
          <w:b/>
          <w:bCs/>
          <w:lang w:val="en"/>
        </w:rPr>
        <w:t xml:space="preserve">8.3 EN:</w:t>
      </w:r>
      <w:r>
        <w:rPr>
          <w:lang w:val="en"/>
        </w:rPr>
        <w:t xml:space="preserve"> </w:t>
      </w:r>
      <w:r>
        <w:rPr>
          <w:lang w:val="en"/>
        </w:rPr>
        <w:t xml:space="preserve">Any development or customization under subsequent agreements shall remain the exclusive property of the First Party.</w:t>
      </w:r>
    </w:p>
    <w:p>
      <w:r>
        <w:pict>
          <v:rect style="width:0;height:1.5pt" o:hralign="center" o:hrstd="t" o:hr="t"/>
        </w:pict>
      </w:r>
    </w:p>
    <w:p>
      <w:pPr>
        <w:pStyle w:val="Heading2"/>
      </w:pPr>
      <w:bookmarkStart w:id="33" w:name="_5148788de7c341185dd0989628c256273542c5b"/>
      <w:r>
        <w:rPr>
          <w:lang w:val="en"/>
        </w:rPr>
        <w:t xml:space="preserve">المادة (9): عدم التجنب وعدم الاستقطاب | Article 9: Non-Circumvention and Non-Solicitation</w:t>
      </w:r>
      <w:bookmarkEnd w:id="33"/>
    </w:p>
    <w:p>
      <w:pPr>
        <w:pStyle w:val="FirstParagraph"/>
      </w:pPr>
      <w:r>
        <w:rPr>
          <w:b/>
          <w:bCs/>
          <w:lang w:val="en"/>
        </w:rPr>
        <w:t xml:space="preserve">9.1 AR:</w:t>
      </w:r>
      <w:r>
        <w:rPr>
          <w:lang w:val="en"/>
        </w:rPr>
        <w:t xml:space="preserve"> </w:t>
      </w:r>
      <w:r>
        <w:rPr>
          <w:lang w:val="en"/>
        </w:rPr>
        <w:t xml:space="preserve">يتعهد الطرف الثاني بعدم التواصل مباشرة أو غير مباشرة مع أي من عملاء أو شركاء أو موردي الطرف الأول بهدف تجنب الطرف الأول.</w:t>
      </w:r>
    </w:p>
    <w:p>
      <w:pPr>
        <w:pStyle w:val="BodyText"/>
      </w:pPr>
      <w:r>
        <w:rPr>
          <w:b/>
          <w:bCs/>
          <w:lang w:val="en"/>
        </w:rPr>
        <w:t xml:space="preserve">9.1 EN:</w:t>
      </w:r>
      <w:r>
        <w:rPr>
          <w:lang w:val="en"/>
        </w:rPr>
        <w:t xml:space="preserve"> </w:t>
      </w:r>
      <w:r>
        <w:rPr>
          <w:lang w:val="en"/>
        </w:rPr>
        <w:t xml:space="preserve">The Second Party shall not contact, directly or indirectly, any of the First Party’s customers, partners or vendors with the aim of circumventing the First Party.</w:t>
      </w:r>
    </w:p>
    <w:p>
      <w:pPr>
        <w:pStyle w:val="BodyText"/>
      </w:pPr>
      <w:r>
        <w:rPr>
          <w:b/>
          <w:bCs/>
          <w:lang w:val="en"/>
        </w:rPr>
        <w:t xml:space="preserve">9.2 AR:</w:t>
      </w:r>
      <w:r>
        <w:rPr>
          <w:lang w:val="en"/>
        </w:rPr>
        <w:t xml:space="preserve"> </w:t>
      </w:r>
      <w:r>
        <w:rPr>
          <w:lang w:val="en"/>
        </w:rPr>
        <w:t xml:space="preserve">يتعهد الطرف الثاني بعدم استقطاب أي من موظفي أو مستشاري الطرف الأول خلال مدة هذه الاتفاقية ولمدة سنة (1) بعد انتهائها.</w:t>
      </w:r>
    </w:p>
    <w:p>
      <w:pPr>
        <w:pStyle w:val="BodyText"/>
      </w:pPr>
      <w:r>
        <w:rPr>
          <w:b/>
          <w:bCs/>
          <w:lang w:val="en"/>
        </w:rPr>
        <w:t xml:space="preserve">9.2 EN:</w:t>
      </w:r>
      <w:r>
        <w:rPr>
          <w:lang w:val="en"/>
        </w:rPr>
        <w:t xml:space="preserve"> </w:t>
      </w:r>
      <w:r>
        <w:rPr>
          <w:lang w:val="en"/>
        </w:rPr>
        <w:t xml:space="preserve">The Second Party shall not solicit any of the First Party’s employees or advisors during the term and for one (1) year after termination.</w:t>
      </w:r>
    </w:p>
    <w:p>
      <w:pPr>
        <w:pStyle w:val="BodyText"/>
      </w:pPr>
      <w:r>
        <w:rPr>
          <w:b/>
          <w:bCs/>
          <w:lang w:val="en"/>
        </w:rPr>
        <w:t xml:space="preserve">9.3 AR:</w:t>
      </w:r>
      <w:r>
        <w:rPr>
          <w:lang w:val="en"/>
        </w:rPr>
        <w:t xml:space="preserve"> </w:t>
      </w:r>
      <w:r>
        <w:rPr>
          <w:lang w:val="en"/>
        </w:rPr>
        <w:t xml:space="preserve">يتعهد الطرف الثاني بعدم مشاركة المعلومات السرية مع أي شركة استثمارية أخرى في محفظته أو شركات تابعة لها دون موافقة كتابية مسبقة.</w:t>
      </w:r>
    </w:p>
    <w:p>
      <w:pPr>
        <w:pStyle w:val="BodyText"/>
      </w:pPr>
      <w:r>
        <w:rPr>
          <w:b/>
          <w:bCs/>
          <w:lang w:val="en"/>
        </w:rPr>
        <w:t xml:space="preserve">9.3 EN:</w:t>
      </w:r>
      <w:r>
        <w:rPr>
          <w:lang w:val="en"/>
        </w:rPr>
        <w:t xml:space="preserve"> </w:t>
      </w:r>
      <w:r>
        <w:rPr>
          <w:lang w:val="en"/>
        </w:rPr>
        <w:t xml:space="preserve">The Second Party shall not share Confidential Information with any other portfolio company, affiliate or fund without prior written consent.</w:t>
      </w:r>
    </w:p>
    <w:p>
      <w:r>
        <w:pict>
          <v:rect style="width:0;height:1.5pt" o:hralign="center" o:hrstd="t" o:hr="t"/>
        </w:pict>
      </w:r>
    </w:p>
    <w:p>
      <w:pPr>
        <w:pStyle w:val="Heading2"/>
      </w:pPr>
      <w:bookmarkStart w:id="34" w:name="_826f05b7a158d3d6e1ad4481de4417d3f466cc2"/>
      <w:r>
        <w:rPr>
          <w:lang w:val="en"/>
        </w:rPr>
        <w:t xml:space="preserve">المادة (10): التعويضات | Article 10: Indemnification</w:t>
      </w:r>
      <w:bookmarkEnd w:id="34"/>
    </w:p>
    <w:p>
      <w:pPr>
        <w:pStyle w:val="FirstParagraph"/>
      </w:pPr>
      <w:r>
        <w:rPr>
          <w:b/>
          <w:bCs/>
          <w:lang w:val="en"/>
        </w:rPr>
        <w:t xml:space="preserve">10.1 AR:</w:t>
      </w:r>
      <w:r>
        <w:rPr>
          <w:lang w:val="en"/>
        </w:rPr>
        <w:t xml:space="preserve"> </w:t>
      </w:r>
      <w:r>
        <w:rPr>
          <w:lang w:val="en"/>
        </w:rPr>
        <w:t xml:space="preserve">في حال خرق الطرف الثاني لأي من أحكام هذه الاتفاقية، يلتزم بتعويض الطرف الأول تعويضًا كاملًا وفوريًا عن جميع الأضرار المادية والمعنوية.</w:t>
      </w:r>
    </w:p>
    <w:p>
      <w:pPr>
        <w:pStyle w:val="BodyText"/>
      </w:pPr>
      <w:r>
        <w:rPr>
          <w:b/>
          <w:bCs/>
          <w:lang w:val="en"/>
        </w:rPr>
        <w:t xml:space="preserve">10.1 EN:</w:t>
      </w:r>
      <w:r>
        <w:rPr>
          <w:lang w:val="en"/>
        </w:rPr>
        <w:t xml:space="preserve"> </w:t>
      </w:r>
      <w:r>
        <w:rPr>
          <w:lang w:val="en"/>
        </w:rPr>
        <w:t xml:space="preserve">In the event the Second Party breaches any provisions of this Agreement, it shall indemnify the First Party fully and promptly for all material and moral damages.</w:t>
      </w:r>
    </w:p>
    <w:p>
      <w:pPr>
        <w:pStyle w:val="BodyText"/>
      </w:pPr>
      <w:r>
        <w:rPr>
          <w:b/>
          <w:bCs/>
          <w:lang w:val="en"/>
        </w:rPr>
        <w:t xml:space="preserve">10.2 AR:</w:t>
      </w:r>
      <w:r>
        <w:rPr>
          <w:lang w:val="en"/>
        </w:rPr>
        <w:t xml:space="preserve"> </w:t>
      </w:r>
      <w:r>
        <w:rPr>
          <w:lang w:val="en"/>
        </w:rPr>
        <w:t xml:space="preserve">يتحمل الطرف الثاني المسؤولية الكاملة عن أي خرق، ويُخضَع لأي عقوبات منصوص عليها في نظام حماية البيانات الشخصية (PDPL) في المملكة العربية السعودية.</w:t>
      </w:r>
    </w:p>
    <w:p>
      <w:pPr>
        <w:pStyle w:val="BodyText"/>
      </w:pPr>
      <w:r>
        <w:rPr>
          <w:b/>
          <w:bCs/>
          <w:lang w:val="en"/>
        </w:rPr>
        <w:t xml:space="preserve">10.2 EN:</w:t>
      </w:r>
      <w:r>
        <w:rPr>
          <w:lang w:val="en"/>
        </w:rPr>
        <w:t xml:space="preserve"> </w:t>
      </w:r>
      <w:r>
        <w:rPr>
          <w:lang w:val="en"/>
        </w:rPr>
        <w:t xml:space="preserve">The Second Party bears full liability for any breach and shall be subject to penalties under the Personal Data Protection Law (PDPL) of KSA.</w:t>
      </w:r>
    </w:p>
    <w:p>
      <w:pPr>
        <w:pStyle w:val="BodyText"/>
      </w:pPr>
      <w:r>
        <w:rPr>
          <w:b/>
          <w:bCs/>
          <w:lang w:val="en"/>
        </w:rPr>
        <w:t xml:space="preserve">10.3 AR:</w:t>
      </w:r>
      <w:r>
        <w:rPr>
          <w:lang w:val="en"/>
        </w:rPr>
        <w:t xml:space="preserve"> </w:t>
      </w:r>
      <w:r>
        <w:rPr>
          <w:lang w:val="en"/>
        </w:rPr>
        <w:t xml:space="preserve">يحق للطرف الأول طلب إصدار أمر قضائي لمنع أي خرق، دون الحاجة إلى تقديم ضمان مالي.</w:t>
      </w:r>
    </w:p>
    <w:p>
      <w:pPr>
        <w:pStyle w:val="BodyText"/>
      </w:pPr>
      <w:r>
        <w:rPr>
          <w:b/>
          <w:bCs/>
          <w:lang w:val="en"/>
        </w:rPr>
        <w:t xml:space="preserve">10.3 EN:</w:t>
      </w:r>
      <w:r>
        <w:rPr>
          <w:lang w:val="en"/>
        </w:rPr>
        <w:t xml:space="preserve"> </w:t>
      </w:r>
      <w:r>
        <w:rPr>
          <w:lang w:val="en"/>
        </w:rPr>
        <w:t xml:space="preserve">The First Party shall be entitled to seek injunctive relief to prevent any breach, without the need to provide any financial bond.</w:t>
      </w:r>
    </w:p>
    <w:p>
      <w:r>
        <w:pict>
          <v:rect style="width:0;height:1.5pt" o:hralign="center" o:hrstd="t" o:hr="t"/>
        </w:pict>
      </w:r>
    </w:p>
    <w:p>
      <w:pPr>
        <w:pStyle w:val="Heading2"/>
      </w:pPr>
      <w:bookmarkStart w:id="35" w:name="_34b242497bbc8c1aec34422301acd1430d93ad1"/>
      <w:r>
        <w:rPr>
          <w:lang w:val="en"/>
        </w:rPr>
        <w:t xml:space="preserve">المادة (11): إعادة المواد | Article 11: Return of Materials</w:t>
      </w:r>
      <w:bookmarkEnd w:id="35"/>
    </w:p>
    <w:p>
      <w:pPr>
        <w:pStyle w:val="FirstParagraph"/>
      </w:pPr>
      <w:r>
        <w:rPr>
          <w:b/>
          <w:bCs/>
          <w:lang w:val="en"/>
        </w:rPr>
        <w:t xml:space="preserve">11.1 AR:</w:t>
      </w:r>
      <w:r>
        <w:rPr>
          <w:lang w:val="en"/>
        </w:rPr>
        <w:t xml:space="preserve"> </w:t>
      </w:r>
      <w:r>
        <w:rPr>
          <w:lang w:val="en"/>
        </w:rPr>
        <w:t xml:space="preserve">على الطرف الثاني، خلال خمسة عشر (15) يومًا من انتهاء هذه الاتفاقية أو عند طلب الطرف الأول، إعادة جميع المواد أو إتلافها بشكل آمن، مع تقديم شهادة إتلاف كتابية.</w:t>
      </w:r>
    </w:p>
    <w:p>
      <w:pPr>
        <w:pStyle w:val="BodyText"/>
      </w:pPr>
      <w:r>
        <w:rPr>
          <w:b/>
          <w:bCs/>
          <w:lang w:val="en"/>
        </w:rPr>
        <w:t xml:space="preserve">11.1 EN:</w:t>
      </w:r>
      <w:r>
        <w:rPr>
          <w:lang w:val="en"/>
        </w:rPr>
        <w:t xml:space="preserve"> </w:t>
      </w:r>
      <w:r>
        <w:rPr>
          <w:lang w:val="en"/>
        </w:rPr>
        <w:t xml:space="preserve">The Second Party shall, within fifteen (15) days of termination or upon request, return or securely destroy all materials, providing written certification of destruction.</w:t>
      </w:r>
    </w:p>
    <w:p>
      <w:pPr>
        <w:pStyle w:val="BodyText"/>
      </w:pPr>
      <w:r>
        <w:rPr>
          <w:b/>
          <w:bCs/>
          <w:lang w:val="en"/>
        </w:rPr>
        <w:t xml:space="preserve">11.2 AR:</w:t>
      </w:r>
      <w:r>
        <w:rPr>
          <w:lang w:val="en"/>
        </w:rPr>
        <w:t xml:space="preserve"> </w:t>
      </w:r>
      <w:r>
        <w:rPr>
          <w:lang w:val="en"/>
        </w:rPr>
        <w:t xml:space="preserve">لا يجوز للطرف الثاني الاحتفاظ بأي نسخ، بما في ذلك النسخ الاحتياطية، باستثناء ما يقتضيه القانون.</w:t>
      </w:r>
    </w:p>
    <w:p>
      <w:pPr>
        <w:pStyle w:val="BodyText"/>
      </w:pPr>
      <w:r>
        <w:rPr>
          <w:b/>
          <w:bCs/>
          <w:lang w:val="en"/>
        </w:rPr>
        <w:t xml:space="preserve">11.2 EN:</w:t>
      </w:r>
      <w:r>
        <w:rPr>
          <w:lang w:val="en"/>
        </w:rPr>
        <w:t xml:space="preserve"> </w:t>
      </w:r>
      <w:r>
        <w:rPr>
          <w:lang w:val="en"/>
        </w:rPr>
        <w:t xml:space="preserve">The Second Party may not retain any copies, including backups, except where required by law.</w:t>
      </w:r>
    </w:p>
    <w:p>
      <w:r>
        <w:pict>
          <v:rect style="width:0;height:1.5pt" o:hralign="center" o:hrstd="t" o:hr="t"/>
        </w:pict>
      </w:r>
    </w:p>
    <w:p>
      <w:pPr>
        <w:pStyle w:val="Heading2"/>
      </w:pPr>
      <w:bookmarkStart w:id="36" w:name="_b730bb47ca308b78b1165a03aae40fde526a06e"/>
      <w:r>
        <w:rPr>
          <w:lang w:val="en"/>
        </w:rPr>
        <w:t xml:space="preserve">المادة (12): أحكام عامة | Article 12: General Provisions</w:t>
      </w:r>
      <w:bookmarkEnd w:id="36"/>
    </w:p>
    <w:p>
      <w:pPr>
        <w:pStyle w:val="FirstParagraph"/>
      </w:pPr>
      <w:r>
        <w:rPr>
          <w:b/>
          <w:bCs/>
          <w:lang w:val="en"/>
        </w:rPr>
        <w:t xml:space="preserve">12.1 AR:</w:t>
      </w:r>
      <w:r>
        <w:rPr>
          <w:lang w:val="en"/>
        </w:rPr>
        <w:t xml:space="preserve"> </w:t>
      </w:r>
      <w:r>
        <w:rPr>
          <w:lang w:val="en"/>
        </w:rPr>
        <w:t xml:space="preserve">لا يجوز تعديل هذه الاتفاقية إلا بموافقة كتابية موقّعة من الطرفين.</w:t>
      </w:r>
    </w:p>
    <w:p>
      <w:pPr>
        <w:pStyle w:val="BodyText"/>
      </w:pPr>
      <w:r>
        <w:rPr>
          <w:b/>
          <w:bCs/>
          <w:lang w:val="en"/>
        </w:rPr>
        <w:t xml:space="preserve">12.1 EN:</w:t>
      </w:r>
      <w:r>
        <w:rPr>
          <w:lang w:val="en"/>
        </w:rPr>
        <w:t xml:space="preserve"> </w:t>
      </w:r>
      <w:r>
        <w:rPr>
          <w:lang w:val="en"/>
        </w:rPr>
        <w:t xml:space="preserve">This Agreement may not be amended except by written consent signed by both Parties.</w:t>
      </w:r>
    </w:p>
    <w:p>
      <w:pPr>
        <w:pStyle w:val="BodyText"/>
      </w:pPr>
      <w:r>
        <w:rPr>
          <w:b/>
          <w:bCs/>
          <w:lang w:val="en"/>
        </w:rPr>
        <w:t xml:space="preserve">12.2 AR:</w:t>
      </w:r>
      <w:r>
        <w:rPr>
          <w:lang w:val="en"/>
        </w:rPr>
        <w:t xml:space="preserve"> </w:t>
      </w:r>
      <w:r>
        <w:rPr>
          <w:lang w:val="en"/>
        </w:rPr>
        <w:t xml:space="preserve">لا يجوز التنازل عن أي من الحقوق أو الالتزامات دون موافقة كتابية مسبقة من الطرف الآخر.</w:t>
      </w:r>
    </w:p>
    <w:p>
      <w:pPr>
        <w:pStyle w:val="BodyText"/>
      </w:pPr>
      <w:r>
        <w:rPr>
          <w:b/>
          <w:bCs/>
          <w:lang w:val="en"/>
        </w:rPr>
        <w:t xml:space="preserve">12.2 EN:</w:t>
      </w:r>
      <w:r>
        <w:rPr>
          <w:lang w:val="en"/>
        </w:rPr>
        <w:t xml:space="preserve"> </w:t>
      </w:r>
      <w:r>
        <w:rPr>
          <w:lang w:val="en"/>
        </w:rPr>
        <w:t xml:space="preserve">No assignment of rights or obligations shall be permitted without prior written consent of the other Party.</w:t>
      </w:r>
    </w:p>
    <w:p>
      <w:pPr>
        <w:pStyle w:val="BodyText"/>
      </w:pPr>
      <w:r>
        <w:rPr>
          <w:b/>
          <w:bCs/>
          <w:lang w:val="en"/>
        </w:rPr>
        <w:t xml:space="preserve">12.3 AR:</w:t>
      </w:r>
      <w:r>
        <w:rPr>
          <w:lang w:val="en"/>
        </w:rPr>
        <w:t xml:space="preserve"> </w:t>
      </w:r>
      <w:r>
        <w:rPr>
          <w:lang w:val="en"/>
        </w:rPr>
        <w:t xml:space="preserve">إذا تبين أن أي بند باطل، فلن يؤثر ذلك على صحة باقي البنود.</w:t>
      </w:r>
    </w:p>
    <w:p>
      <w:pPr>
        <w:pStyle w:val="BodyText"/>
      </w:pPr>
      <w:r>
        <w:rPr>
          <w:b/>
          <w:bCs/>
          <w:lang w:val="en"/>
        </w:rPr>
        <w:t xml:space="preserve">12.3 EN:</w:t>
      </w:r>
      <w:r>
        <w:rPr>
          <w:lang w:val="en"/>
        </w:rPr>
        <w:t xml:space="preserve"> </w:t>
      </w:r>
      <w:r>
        <w:rPr>
          <w:lang w:val="en"/>
        </w:rPr>
        <w:t xml:space="preserve">If any provision is held invalid, the remaining provisions shall remain in full force.</w:t>
      </w:r>
    </w:p>
    <w:p>
      <w:pPr>
        <w:pStyle w:val="BodyText"/>
      </w:pPr>
      <w:r>
        <w:rPr>
          <w:b/>
          <w:bCs/>
          <w:lang w:val="en"/>
        </w:rPr>
        <w:t xml:space="preserve">12.4 AR:</w:t>
      </w:r>
      <w:r>
        <w:rPr>
          <w:lang w:val="en"/>
        </w:rPr>
        <w:t xml:space="preserve"> </w:t>
      </w:r>
      <w:r>
        <w:rPr>
          <w:lang w:val="en"/>
        </w:rPr>
        <w:t xml:space="preserve">تحل هذه الاتفاقية محل جميع التفاهمات السابقة بين الطرفين.</w:t>
      </w:r>
    </w:p>
    <w:p>
      <w:pPr>
        <w:pStyle w:val="BodyText"/>
      </w:pPr>
      <w:r>
        <w:rPr>
          <w:b/>
          <w:bCs/>
          <w:lang w:val="en"/>
        </w:rPr>
        <w:t xml:space="preserve">12.4 EN:</w:t>
      </w:r>
      <w:r>
        <w:rPr>
          <w:lang w:val="en"/>
        </w:rPr>
        <w:t xml:space="preserve"> </w:t>
      </w:r>
      <w:r>
        <w:rPr>
          <w:lang w:val="en"/>
        </w:rPr>
        <w:t xml:space="preserve">This Agreement supersedes all prior understandings between the Parties.</w:t>
      </w:r>
    </w:p>
    <w:p>
      <w:r>
        <w:pict>
          <v:rect style="width:0;height:1.5pt" o:hralign="center" o:hrstd="t" o:hr="t"/>
        </w:pict>
      </w:r>
    </w:p>
    <w:p>
      <w:pPr>
        <w:pStyle w:val="Heading2"/>
      </w:pPr>
      <w:bookmarkStart w:id="37" w:name="_a386cef14da7d38f8dfe0a2fb3850085c91c3b4"/>
      <w:r>
        <w:rPr>
          <w:lang w:val="en"/>
        </w:rPr>
        <w:t xml:space="preserve">المادة (13): القانون الحاكم وتسوية النزاعات | Article 13: Governing Law and Dispute Resolution</w:t>
      </w:r>
      <w:bookmarkEnd w:id="37"/>
    </w:p>
    <w:p>
      <w:pPr>
        <w:pStyle w:val="FirstParagraph"/>
      </w:pPr>
      <w:r>
        <w:rPr>
          <w:b/>
          <w:bCs/>
          <w:lang w:val="en"/>
        </w:rPr>
        <w:t xml:space="preserve">13.1 AR:</w:t>
      </w:r>
      <w:r>
        <w:rPr>
          <w:lang w:val="en"/>
        </w:rPr>
        <w:t xml:space="preserve"> </w:t>
      </w:r>
      <w:r>
        <w:rPr>
          <w:lang w:val="en"/>
        </w:rPr>
        <w:t xml:space="preserve">تخضع هذه الاتفاقية وتُفسَّر وفقًا لأنظمة المملكة العربية السعودية.</w:t>
      </w:r>
    </w:p>
    <w:p>
      <w:pPr>
        <w:pStyle w:val="BodyText"/>
      </w:pPr>
      <w:r>
        <w:rPr>
          <w:b/>
          <w:bCs/>
          <w:lang w:val="en"/>
        </w:rPr>
        <w:t xml:space="preserve">13.1 EN:</w:t>
      </w:r>
      <w:r>
        <w:rPr>
          <w:lang w:val="en"/>
        </w:rPr>
        <w:t xml:space="preserve"> </w:t>
      </w:r>
      <w:r>
        <w:rPr>
          <w:lang w:val="en"/>
        </w:rPr>
        <w:t xml:space="preserve">This Agreement shall be governed by and construed in accordance with the laws of the Kingdom of Saudi Arabia.</w:t>
      </w:r>
    </w:p>
    <w:p>
      <w:pPr>
        <w:pStyle w:val="BodyText"/>
      </w:pPr>
      <w:r>
        <w:rPr>
          <w:b/>
          <w:bCs/>
          <w:lang w:val="en"/>
        </w:rPr>
        <w:t xml:space="preserve">13.2 AR:</w:t>
      </w:r>
      <w:r>
        <w:rPr>
          <w:lang w:val="en"/>
        </w:rPr>
        <w:t xml:space="preserve"> </w:t>
      </w:r>
      <w:r>
        <w:rPr>
          <w:lang w:val="en"/>
        </w:rPr>
        <w:t xml:space="preserve">يسعى الطرفان لتسوية أي خلاف وديًا خلال ثلاثين (30) يومًا من نشوئه.</w:t>
      </w:r>
    </w:p>
    <w:p>
      <w:pPr>
        <w:pStyle w:val="BodyText"/>
      </w:pPr>
      <w:r>
        <w:rPr>
          <w:b/>
          <w:bCs/>
          <w:lang w:val="en"/>
        </w:rPr>
        <w:t xml:space="preserve">13.2 EN:</w:t>
      </w:r>
      <w:r>
        <w:rPr>
          <w:lang w:val="en"/>
        </w:rPr>
        <w:t xml:space="preserve"> </w:t>
      </w:r>
      <w:r>
        <w:rPr>
          <w:lang w:val="en"/>
        </w:rPr>
        <w:t xml:space="preserve">The Parties shall seek to settle any dispute amicably within thirty (30) days of its occurrence.</w:t>
      </w:r>
    </w:p>
    <w:p>
      <w:pPr>
        <w:pStyle w:val="BodyText"/>
      </w:pPr>
      <w:r>
        <w:rPr>
          <w:b/>
          <w:bCs/>
          <w:lang w:val="en"/>
        </w:rPr>
        <w:t xml:space="preserve">13.3 AR:</w:t>
      </w:r>
      <w:r>
        <w:rPr>
          <w:lang w:val="en"/>
        </w:rPr>
        <w:t xml:space="preserve"> </w:t>
      </w:r>
      <w:r>
        <w:rPr>
          <w:lang w:val="en"/>
        </w:rPr>
        <w:t xml:space="preserve">في حال فشل التسوية الودية، تُحال النزاعات إلى المحاكم المختصة في مدينة الرياض بالمملكة العربية السعودية، دون غيرها.</w:t>
      </w:r>
    </w:p>
    <w:p>
      <w:pPr>
        <w:pStyle w:val="BodyText"/>
      </w:pPr>
      <w:r>
        <w:rPr>
          <w:b/>
          <w:bCs/>
          <w:lang w:val="en"/>
        </w:rPr>
        <w:t xml:space="preserve">13.3 EN:</w:t>
      </w:r>
      <w:r>
        <w:rPr>
          <w:lang w:val="en"/>
        </w:rPr>
        <w:t xml:space="preserve"> </w:t>
      </w:r>
      <w:r>
        <w:rPr>
          <w:lang w:val="en"/>
        </w:rPr>
        <w:t xml:space="preserve">Failing amicable settlement, disputes shall be referred to the competent courts in the city of Riyadh, KSA, with exclusive jurisdiction.</w:t>
      </w:r>
    </w:p>
    <w:p>
      <w:r>
        <w:pict>
          <v:rect style="width:0;height:1.5pt" o:hralign="center" o:hrstd="t" o:hr="t"/>
        </w:pict>
      </w:r>
    </w:p>
    <w:p>
      <w:pPr>
        <w:pStyle w:val="Heading2"/>
      </w:pPr>
      <w:bookmarkStart w:id="38" w:name="_83fd463682f5d983d63d8a899b346556b2bddf6"/>
      <w:r>
        <w:rPr>
          <w:lang w:val="en"/>
        </w:rPr>
        <w:t xml:space="preserve">التوقيعات | Signatures</w:t>
      </w:r>
      <w:bookmarkEnd w:id="38"/>
    </w:p>
    <w:p>
      <w:pPr>
        <w:pStyle w:val="Heading3"/>
      </w:pPr>
      <w:bookmarkStart w:id="39" w:name="_2adbfb6752e3f483a233c3bd98c41762a1c11c3"/>
      <w:r>
        <w:rPr>
          <w:lang w:val="en"/>
        </w:rPr>
        <w:t xml:space="preserve">الطرف الأول — First Party</w:t>
      </w:r>
      <w:bookmarkEnd w:id="39"/>
    </w:p>
    <w:p>
      <w:pPr>
        <w:pStyle w:val="FirstParagraph"/>
      </w:pPr>
      <w:r>
        <w:rPr>
          <w:b/>
          <w:bCs/>
          <w:lang w:val="en"/>
        </w:rPr>
        <w:t xml:space="preserve">HISN — حِصْن</w:t>
      </w:r>
    </w:p>
    <w:p>
      <w:pPr>
        <w:pStyle w:val="BodyText"/>
      </w:pPr>
      <w:r>
        <w:rPr>
          <w:lang w:val="en"/>
        </w:rPr>
        <w:t xml:space="preserve">الاسم | Name:</w:t>
      </w:r>
      <w:r>
        <w:rPr>
          <w:lang w:val="en"/>
        </w:rPr>
        <w:t xml:space="preserve"> </w:t>
      </w:r>
      <w:r>
        <w:rPr>
          <w:b/>
          <w:bCs/>
          <w:lang w:val="en"/>
        </w:rPr>
        <w:t xml:space="preserve">محمد عبده — Mohamed Abdo</w:t>
      </w:r>
    </w:p>
    <w:p>
      <w:pPr>
        <w:pStyle w:val="BodyText"/>
      </w:pPr>
      <w:r>
        <w:rPr>
          <w:lang w:val="en"/>
        </w:rPr>
        <w:t xml:space="preserve">المنصب | Position:</w:t>
      </w:r>
      <w:r>
        <w:rPr>
          <w:lang w:val="en"/>
        </w:rPr>
        <w:t xml:space="preserve"> </w:t>
      </w:r>
      <w:r>
        <w:rPr>
          <w:b/>
          <w:bCs/>
          <w:lang w:val="en"/>
        </w:rPr>
        <w:t xml:space="preserve">المؤسس والرئيس التنفيذي — Founder &amp; CEO</w:t>
      </w:r>
    </w:p>
    <w:p>
      <w:pPr>
        <w:pStyle w:val="BodyText"/>
      </w:pPr>
      <w:r>
        <w:rPr>
          <w:lang w:val="en"/>
        </w:rPr>
        <w:t xml:space="preserve">التوقيع | Signature: _________________________</w:t>
      </w:r>
    </w:p>
    <w:p>
      <w:pPr>
        <w:pStyle w:val="BodyText"/>
      </w:pPr>
      <w:r>
        <w:rPr>
          <w:lang w:val="en"/>
        </w:rPr>
        <w:t xml:space="preserve">الختم | Stamp: [ HISN ]</w:t>
      </w:r>
    </w:p>
    <w:p>
      <w:pPr>
        <w:pStyle w:val="BodyText"/>
      </w:pPr>
      <w:r>
        <w:rPr>
          <w:lang w:val="en"/>
        </w:rPr>
        <w:t xml:space="preserve">التاريخ | Date: ____ / ____ / 2026</w:t>
      </w:r>
    </w:p>
    <w:p>
      <w:pPr>
        <w:pStyle w:val="Heading3"/>
      </w:pPr>
      <w:bookmarkStart w:id="40" w:name="_bd0149d679209ee9b56afeb46dc0ce857aeba61"/>
      <w:r>
        <w:rPr>
          <w:lang w:val="en"/>
        </w:rPr>
        <w:t xml:space="preserve">الطرف الثاني — Second Party</w:t>
      </w:r>
      <w:bookmarkEnd w:id="40"/>
    </w:p>
    <w:p>
      <w:pPr>
        <w:pStyle w:val="FirstParagraph"/>
      </w:pPr>
      <w:r>
        <w:rPr>
          <w:lang w:val="en"/>
        </w:rPr>
        <w:t xml:space="preserve">الاسم | Name: _________________________</w:t>
      </w:r>
    </w:p>
    <w:p>
      <w:pPr>
        <w:pStyle w:val="BodyText"/>
      </w:pPr>
      <w:r>
        <w:rPr>
          <w:lang w:val="en"/>
        </w:rPr>
        <w:t xml:space="preserve">المنصب | Position: _________________________</w:t>
      </w:r>
    </w:p>
    <w:p>
      <w:pPr>
        <w:pStyle w:val="BodyText"/>
      </w:pPr>
      <w:r>
        <w:rPr>
          <w:lang w:val="en"/>
        </w:rPr>
        <w:t xml:space="preserve">التوقيع | Signature: _________________________</w:t>
      </w:r>
    </w:p>
    <w:p>
      <w:pPr>
        <w:pStyle w:val="BodyText"/>
      </w:pPr>
      <w:r>
        <w:rPr>
          <w:lang w:val="en"/>
        </w:rPr>
        <w:t xml:space="preserve">الختم | Stamp: _________________________</w:t>
      </w:r>
    </w:p>
    <w:p>
      <w:pPr>
        <w:pStyle w:val="BodyText"/>
      </w:pPr>
      <w:r>
        <w:rPr>
          <w:lang w:val="en"/>
        </w:rPr>
        <w:t xml:space="preserve">التاريخ | Date: ____ / ____ / 2026</w:t>
      </w:r>
    </w:p>
    <w:p>
      <w:r>
        <w:pict>
          <v:rect style="width:0;height:1.5pt" o:hralign="center" o:hrstd="t" o:hr="t"/>
        </w:pict>
      </w:r>
    </w:p>
    <w:p>
      <w:pPr>
        <w:pStyle w:val="FirstParagraph"/>
      </w:pPr>
      <w:r>
        <w:rPr>
          <w:b/>
          <w:bCs/>
          <w:lang w:val="en"/>
        </w:rPr>
        <w:t xml:space="preserve">HISN — Where Trust Begins</w:t>
      </w:r>
    </w:p>
    <w:p>
      <w:pPr>
        <w:pStyle w:val="BodyText"/>
      </w:pPr>
      <w:r>
        <w:rPr>
          <w:b/>
          <w:bCs/>
          <w:lang w:val="en"/>
        </w:rPr>
        <w:t xml:space="preserve">حِصْن — حيث تبدأ الثقة</w:t>
      </w:r>
    </w:p>
    <w:p>
      <w:pPr>
        <w:pStyle w:val="BodyText"/>
      </w:pPr>
      <w:r>
        <w:rPr>
          <w:i/>
          <w:iCs/>
          <w:lang w:val="en"/>
        </w:rPr>
        <w:t xml:space="preserve">Confidential — Not for Distribution</w:t>
      </w:r>
    </w:p>
    <w:sectPr w:rsidR="00FC693F" w:rsidRPr="0006063C" w:rsidSect="00034616">
      <w:headerReference w:type="default" r:id="rId9"/>
      <w:footerReference w:type="default" r:id="rId10"/>
      <w:pgSz w:w="12240" w:h="15840"/>
      <w:pgMar w:top="1134" w:right="1134" w:bottom="1134" w:left="1134" w:header="283" w:footer="454"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Brand</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jawal" w:hAnsi="Tajawal" w:cs="Tajawal"/>
      <w:color w:val="2C2C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ajawal" w:hAnsi="Tajawal" w:cs="Tajawal"/>
      <w:b/>
      <w:bCs/>
      <w:color w:val="0A0A0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ajawal" w:hAnsi="Tajawal" w:cs="Tajawal"/>
      <w:b/>
      <w:bCs/>
      <w:color w:val="0A0A0A"/>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ajawal" w:hAnsi="Tajawal" w:cs="Tajawal"/>
      <w:b/>
      <w:bCs/>
      <w:color w:val="0A0A0A"/>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ajawal" w:hAnsi="Tajawal" w:cs="Tajawal"/>
      <w:b/>
      <w:color w:val="C9A45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9" Type="http://schemas.openxmlformats.org/officeDocument/2006/relationships/header" Target="header1.xml" /><Relationship Id="rId10" Type="http://schemas.openxmlformats.org/officeDocument/2006/relationships/footer" Target="footer1.xml" /></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NDA — HISN</dc:title>
  <dc:creator>HISN Platform</dc:creator>
  <dc:language>en</dc:language>
  <cp:keywords/>
  <dcterms:created xsi:type="dcterms:W3CDTF">2026-10-15T12:41:54Z</dcterms:created>
  <dcterms:modified xsi:type="dcterms:W3CDTF">2026-10-15T12:41:54Z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Mutual Non-Disclosure Agreement</vt:lpwstr>
  </property>
</Properties>
</file>